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CB" w:rsidRPr="00C507D1" w:rsidRDefault="00E948CB" w:rsidP="00E948CB">
      <w:pPr>
        <w:jc w:val="right"/>
      </w:pPr>
      <w:r w:rsidRPr="00C507D1">
        <w:t>EELNÕU</w:t>
      </w:r>
    </w:p>
    <w:p w:rsidR="00E948CB" w:rsidRDefault="00E948CB" w:rsidP="00E948CB">
      <w:pPr>
        <w:jc w:val="center"/>
        <w:rPr>
          <w:b/>
          <w:caps/>
          <w:kern w:val="36"/>
        </w:rPr>
      </w:pPr>
    </w:p>
    <w:p w:rsidR="00E948CB" w:rsidRPr="00C507D1" w:rsidRDefault="00E948CB" w:rsidP="00E948CB">
      <w:pPr>
        <w:jc w:val="center"/>
        <w:rPr>
          <w:b/>
          <w:caps/>
          <w:kern w:val="36"/>
        </w:rPr>
      </w:pPr>
    </w:p>
    <w:p w:rsidR="00E948CB" w:rsidRDefault="00E948CB" w:rsidP="00E948CB">
      <w:pPr>
        <w:jc w:val="center"/>
        <w:rPr>
          <w:b/>
          <w:caps/>
          <w:kern w:val="36"/>
        </w:rPr>
      </w:pPr>
    </w:p>
    <w:p w:rsidR="00E948CB" w:rsidRPr="00B15538" w:rsidRDefault="00E948CB" w:rsidP="00E948CB">
      <w:pPr>
        <w:jc w:val="center"/>
        <w:rPr>
          <w:b/>
          <w:sz w:val="32"/>
          <w:szCs w:val="32"/>
        </w:rPr>
      </w:pPr>
      <w:r w:rsidRPr="00B15538">
        <w:rPr>
          <w:b/>
          <w:kern w:val="36"/>
          <w:sz w:val="32"/>
          <w:szCs w:val="32"/>
        </w:rPr>
        <w:t xml:space="preserve">Sotsiaalmaksuseaduse täiendamise seadus </w:t>
      </w:r>
    </w:p>
    <w:p w:rsidR="00E948CB" w:rsidRPr="00EE2761" w:rsidRDefault="00E948CB" w:rsidP="00E948CB"/>
    <w:p w:rsidR="00E948CB" w:rsidRPr="00EE2761" w:rsidRDefault="00E948CB" w:rsidP="00E948CB"/>
    <w:p w:rsidR="00E948CB" w:rsidRPr="00EE2761" w:rsidRDefault="00E948CB" w:rsidP="00E948CB"/>
    <w:p w:rsidR="00E948CB" w:rsidRPr="007E51B8" w:rsidRDefault="00E948CB" w:rsidP="00E948CB">
      <w:pPr>
        <w:rPr>
          <w:b/>
        </w:rPr>
      </w:pPr>
      <w:r w:rsidRPr="007E51B8">
        <w:rPr>
          <w:b/>
        </w:rPr>
        <w:t>§ 1. Sotsiaalmaksuseaduse täiendamine</w:t>
      </w:r>
    </w:p>
    <w:p w:rsidR="00E948CB" w:rsidRDefault="00E948CB" w:rsidP="00E948CB"/>
    <w:p w:rsidR="00E948CB" w:rsidRDefault="00E948CB" w:rsidP="00E948CB">
      <w:r>
        <w:t>Sotsiaalmaksuseadust täiendatakse järgmiselt:</w:t>
      </w:r>
    </w:p>
    <w:p w:rsidR="00E948CB" w:rsidRDefault="00E948CB" w:rsidP="00E948CB"/>
    <w:p w:rsidR="00E948CB" w:rsidRDefault="00E948CB" w:rsidP="00E948CB">
      <w:r w:rsidRPr="007E51B8">
        <w:rPr>
          <w:b/>
        </w:rPr>
        <w:t>1)</w:t>
      </w:r>
      <w:r w:rsidR="003B28B1">
        <w:t xml:space="preserve"> seaduse paragrahv 3 lõige</w:t>
      </w:r>
      <w:r w:rsidR="001440A4">
        <w:t xml:space="preserve"> </w:t>
      </w:r>
      <w:r w:rsidR="003B28B1">
        <w:t>1</w:t>
      </w:r>
      <w:r>
        <w:t xml:space="preserve"> täiendatakse uue punktiga 18 järgmises sõnastuses:</w:t>
      </w:r>
    </w:p>
    <w:p w:rsidR="00E948CB" w:rsidRPr="00601C0F" w:rsidRDefault="00E948CB" w:rsidP="00E948CB"/>
    <w:p w:rsidR="00E948CB" w:rsidRDefault="00E948CB" w:rsidP="004F4ABC">
      <w:pPr>
        <w:jc w:val="both"/>
      </w:pPr>
      <w:r>
        <w:t xml:space="preserve">„18) Sotsiaalmaksuga ei maksustata töötasud ja palgad </w:t>
      </w:r>
      <w:r w:rsidRPr="00EE2761">
        <w:t>käesoleva seaduse § 2 lõike 1 p</w:t>
      </w:r>
      <w:r w:rsidR="001F337D">
        <w:t>unktide 1 ja 3 tähenduses osas, mis ületab</w:t>
      </w:r>
      <w:r w:rsidRPr="00EE2761">
        <w:t xml:space="preserve"> </w:t>
      </w:r>
      <w:r w:rsidR="004D6FFC">
        <w:t>4-</w:t>
      </w:r>
      <w:r>
        <w:t>kord</w:t>
      </w:r>
      <w:r w:rsidR="001F337D">
        <w:t>set mediaanväljamakse suurust</w:t>
      </w:r>
      <w:r>
        <w:t xml:space="preserve">“; </w:t>
      </w:r>
    </w:p>
    <w:p w:rsidR="00E948CB" w:rsidRDefault="00E948CB" w:rsidP="00E948CB"/>
    <w:p w:rsidR="00E948CB" w:rsidRDefault="00E948CB" w:rsidP="00E948CB">
      <w:r w:rsidRPr="007E51B8">
        <w:rPr>
          <w:b/>
        </w:rPr>
        <w:t>2)</w:t>
      </w:r>
      <w:r>
        <w:t xml:space="preserve"> seaduse paragrahv 2</w:t>
      </w:r>
      <w:r>
        <w:rPr>
          <w:vertAlign w:val="superscript"/>
        </w:rPr>
        <w:t>1</w:t>
      </w:r>
      <w:r>
        <w:t xml:space="preserve"> täiendatakse uute lõigetega 2 ja 3 järgmises sõnastuses:</w:t>
      </w:r>
    </w:p>
    <w:p w:rsidR="00E948CB" w:rsidRPr="007E51B8" w:rsidRDefault="00E948CB" w:rsidP="00E948CB"/>
    <w:p w:rsidR="00E948CB" w:rsidRDefault="00E948CB" w:rsidP="007029E2">
      <w:pPr>
        <w:jc w:val="both"/>
      </w:pPr>
      <w:r>
        <w:t>„(2) Töötasu ülempiir</w:t>
      </w:r>
      <w:r w:rsidRPr="00EE2761">
        <w:t xml:space="preserve">, millest alates </w:t>
      </w:r>
      <w:r>
        <w:t>sotsiaalmaksu ei maksta,</w:t>
      </w:r>
      <w:r w:rsidRPr="00EE2761">
        <w:t xml:space="preserve"> </w:t>
      </w:r>
      <w:r>
        <w:t>kehtestatakse</w:t>
      </w:r>
      <w:r w:rsidRPr="00EE2761">
        <w:t xml:space="preserve"> Vabariigi Valitsuse määrusega </w:t>
      </w:r>
      <w:r>
        <w:t>hiljemalt eelarveaastale eelneva aasta 20. novembriks. Ülempiir</w:t>
      </w:r>
      <w:r w:rsidRPr="00EE2761">
        <w:t xml:space="preserve"> </w:t>
      </w:r>
      <w:r>
        <w:t xml:space="preserve">sõltub </w:t>
      </w:r>
      <w:r w:rsidRPr="00EE2761">
        <w:t xml:space="preserve">jooksva aasta kolme </w:t>
      </w:r>
      <w:r>
        <w:t xml:space="preserve">esimese </w:t>
      </w:r>
      <w:r w:rsidRPr="00EE2761">
        <w:t>kvartali mediaanväljamakse</w:t>
      </w:r>
      <w:r>
        <w:t xml:space="preserve"> keskmisest</w:t>
      </w:r>
      <w:r w:rsidRPr="00EE2761">
        <w:t xml:space="preserve"> suurusest </w:t>
      </w:r>
      <w:r>
        <w:t>Maksu- ja Tolliameti ametliku statistika järgi</w:t>
      </w:r>
      <w:r w:rsidR="00E70299">
        <w:t>“</w:t>
      </w:r>
      <w:r>
        <w:t>.</w:t>
      </w:r>
    </w:p>
    <w:p w:rsidR="00E948CB" w:rsidRDefault="00E948CB" w:rsidP="00E948CB"/>
    <w:p w:rsidR="00E948CB" w:rsidRDefault="00E948CB" w:rsidP="009212D2">
      <w:pPr>
        <w:jc w:val="both"/>
      </w:pPr>
      <w:r>
        <w:t xml:space="preserve">„(3) Sotsiaalmaksu ülempiiriga seotud arvestuse pidamise korra </w:t>
      </w:r>
      <w:r w:rsidRPr="001F68FC">
        <w:t>kehtestab valdkonna eest vastutav minister</w:t>
      </w:r>
      <w:r>
        <w:t>“</w:t>
      </w:r>
      <w:r w:rsidRPr="001F68FC">
        <w:t>.</w:t>
      </w:r>
    </w:p>
    <w:p w:rsidR="00E948CB" w:rsidRDefault="00E948CB" w:rsidP="00E948CB"/>
    <w:p w:rsidR="00E948CB" w:rsidRPr="00C00674" w:rsidRDefault="00E948CB" w:rsidP="00E948CB"/>
    <w:p w:rsidR="00E948CB" w:rsidRPr="007E51B8" w:rsidRDefault="00E948CB" w:rsidP="00E948CB">
      <w:pPr>
        <w:rPr>
          <w:b/>
        </w:rPr>
      </w:pPr>
      <w:r w:rsidRPr="007E51B8">
        <w:rPr>
          <w:b/>
        </w:rPr>
        <w:t>§ 2. Sotsiaalmaksuseaduse jõustumine</w:t>
      </w:r>
    </w:p>
    <w:p w:rsidR="00E948CB" w:rsidRDefault="00E948CB" w:rsidP="00E948CB"/>
    <w:p w:rsidR="00E948CB" w:rsidRPr="00C00674" w:rsidRDefault="00E948CB" w:rsidP="00E948CB">
      <w:r w:rsidRPr="00C00674">
        <w:t xml:space="preserve">Käesolev seadus jõustub </w:t>
      </w:r>
      <w:r w:rsidR="001F337D">
        <w:t xml:space="preserve">üldises korras. </w:t>
      </w:r>
    </w:p>
    <w:p w:rsidR="00E948CB" w:rsidRPr="00EE2761" w:rsidRDefault="00E948CB" w:rsidP="00E948CB"/>
    <w:p w:rsidR="00E948CB" w:rsidRPr="00EE2761" w:rsidRDefault="00E948CB" w:rsidP="00E948CB"/>
    <w:p w:rsidR="00E948CB" w:rsidRPr="00EE2761" w:rsidRDefault="00E948CB" w:rsidP="00E948CB"/>
    <w:p w:rsidR="00E948CB" w:rsidRPr="00EE2761" w:rsidRDefault="00E948CB" w:rsidP="00E948CB"/>
    <w:p w:rsidR="00E948CB" w:rsidRPr="00EE2761" w:rsidRDefault="00E948CB" w:rsidP="00E948CB"/>
    <w:p w:rsidR="00E948CB" w:rsidRPr="00EE2761" w:rsidRDefault="00E948CB" w:rsidP="00E948CB">
      <w:r w:rsidRPr="00EE2761">
        <w:t>Eiki Nestor</w:t>
      </w:r>
    </w:p>
    <w:p w:rsidR="00E948CB" w:rsidRPr="00EE2761" w:rsidRDefault="00E948CB" w:rsidP="00E948CB">
      <w:pPr>
        <w:jc w:val="both"/>
      </w:pPr>
      <w:r w:rsidRPr="00EE2761">
        <w:t xml:space="preserve">Riigikogu esimees </w:t>
      </w:r>
    </w:p>
    <w:p w:rsidR="00E948CB" w:rsidRPr="00EE2761" w:rsidRDefault="00E948CB" w:rsidP="00E948CB">
      <w:pPr>
        <w:jc w:val="both"/>
      </w:pPr>
    </w:p>
    <w:p w:rsidR="00E948CB" w:rsidRPr="00EE2761" w:rsidRDefault="004D6FFC" w:rsidP="00E948CB">
      <w:pPr>
        <w:jc w:val="both"/>
      </w:pPr>
      <w:r>
        <w:t xml:space="preserve">Tallinn, </w:t>
      </w:r>
      <w:r>
        <w:tab/>
      </w:r>
      <w:r>
        <w:tab/>
        <w:t>2017</w:t>
      </w:r>
      <w:r w:rsidR="00E948CB" w:rsidRPr="00EE2761">
        <w:t xml:space="preserve"> </w:t>
      </w:r>
    </w:p>
    <w:p w:rsidR="00E948CB" w:rsidRPr="00EE2761" w:rsidRDefault="00E948CB" w:rsidP="00E948CB">
      <w:pPr>
        <w:jc w:val="both"/>
      </w:pPr>
    </w:p>
    <w:p w:rsidR="00E948CB" w:rsidRPr="00EE2761" w:rsidRDefault="00E948CB" w:rsidP="00E948CB">
      <w:pPr>
        <w:jc w:val="both"/>
      </w:pPr>
    </w:p>
    <w:p w:rsidR="00E948CB" w:rsidRPr="00EE2761" w:rsidRDefault="00E948CB" w:rsidP="00E948CB">
      <w:pPr>
        <w:jc w:val="both"/>
      </w:pPr>
      <w:r w:rsidRPr="00EE2761">
        <w:rPr>
          <w:noProof/>
          <w:lang w:eastAsia="et-EE"/>
        </w:rPr>
        <mc:AlternateContent>
          <mc:Choice Requires="wps">
            <w:drawing>
              <wp:anchor distT="0" distB="0" distL="114300" distR="114300" simplePos="0" relativeHeight="251659264" behindDoc="0" locked="0" layoutInCell="1" allowOverlap="1" wp14:anchorId="616FB260" wp14:editId="151AF3C1">
                <wp:simplePos x="0" y="0"/>
                <wp:positionH relativeFrom="column">
                  <wp:posOffset>-23495</wp:posOffset>
                </wp:positionH>
                <wp:positionV relativeFrom="paragraph">
                  <wp:posOffset>117475</wp:posOffset>
                </wp:positionV>
                <wp:extent cx="5791200" cy="635"/>
                <wp:effectExtent l="9525" t="11430" r="9525" b="6985"/>
                <wp:wrapNone/>
                <wp:docPr id="1" name="Sirge noolkonnek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82D5A" id="_x0000_t32" coordsize="21600,21600" o:spt="32" o:oned="t" path="m,l21600,21600e" filled="f">
                <v:path arrowok="t" fillok="f" o:connecttype="none"/>
                <o:lock v:ext="edit" shapetype="t"/>
              </v:shapetype>
              <v:shape id="Sirge noolkonnektor 1" o:spid="_x0000_s1026" type="#_x0000_t32" style="position:absolute;margin-left:-1.85pt;margin-top:9.25pt;width:4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" strokeweight="1pt"/>
            </w:pict>
          </mc:Fallback>
        </mc:AlternateContent>
      </w:r>
    </w:p>
    <w:p w:rsidR="00E948CB" w:rsidRPr="00EE2761" w:rsidRDefault="00E948CB" w:rsidP="00E948CB">
      <w:r w:rsidRPr="00EE2761">
        <w:t xml:space="preserve">Algatab Eesti Vabaerakonna fraktsioon  </w:t>
      </w:r>
      <w:r w:rsidR="001440A4">
        <w:t>11</w:t>
      </w:r>
      <w:r w:rsidR="008932D1">
        <w:t>.01.2017</w:t>
      </w:r>
    </w:p>
    <w:p w:rsidR="00E948CB" w:rsidRPr="003B28B1" w:rsidRDefault="00E948CB" w:rsidP="00E948CB"/>
    <w:p w:rsidR="00BC5966" w:rsidRPr="003B28B1" w:rsidRDefault="00BC5966"/>
    <w:p w:rsidR="00E97372" w:rsidRPr="003B28B1" w:rsidRDefault="00E97372"/>
    <w:p w:rsidR="00E97372" w:rsidRPr="003B28B1" w:rsidRDefault="00E97372"/>
    <w:p w:rsidR="00E97372" w:rsidRPr="003B28B1" w:rsidRDefault="00E97372"/>
    <w:p w:rsidR="00E97372" w:rsidRPr="003B28B1" w:rsidRDefault="00E97372"/>
    <w:p w:rsidR="00E97372" w:rsidRPr="003B28B1" w:rsidRDefault="00E97372"/>
    <w:p w:rsidR="00E97372" w:rsidRPr="003B28B1" w:rsidRDefault="00E97372"/>
    <w:p w:rsidR="00E97372" w:rsidRPr="004C3129" w:rsidRDefault="00E97372" w:rsidP="00E97372">
      <w:pPr>
        <w:jc w:val="center"/>
        <w:rPr>
          <w:b/>
          <w:sz w:val="32"/>
          <w:szCs w:val="32"/>
        </w:rPr>
      </w:pPr>
      <w:r w:rsidRPr="004C3129">
        <w:rPr>
          <w:b/>
          <w:sz w:val="32"/>
          <w:szCs w:val="32"/>
        </w:rPr>
        <w:t>Seletuskiri</w:t>
      </w:r>
    </w:p>
    <w:p w:rsidR="00E97372" w:rsidRPr="004C3129" w:rsidRDefault="00E97372" w:rsidP="00E97372">
      <w:pPr>
        <w:jc w:val="center"/>
        <w:rPr>
          <w:b/>
          <w:sz w:val="32"/>
          <w:szCs w:val="32"/>
        </w:rPr>
      </w:pPr>
      <w:r>
        <w:rPr>
          <w:b/>
          <w:kern w:val="36"/>
          <w:sz w:val="32"/>
          <w:szCs w:val="32"/>
        </w:rPr>
        <w:t>Sotsiaalmaksu</w:t>
      </w:r>
      <w:r w:rsidRPr="004C3129">
        <w:rPr>
          <w:b/>
          <w:kern w:val="36"/>
          <w:sz w:val="32"/>
          <w:szCs w:val="32"/>
        </w:rPr>
        <w:t>seaduse täiendamise seaduse</w:t>
      </w:r>
      <w:r>
        <w:rPr>
          <w:b/>
          <w:kern w:val="36"/>
          <w:sz w:val="32"/>
          <w:szCs w:val="32"/>
        </w:rPr>
        <w:t xml:space="preserve"> </w:t>
      </w:r>
      <w:r w:rsidRPr="004C3129">
        <w:rPr>
          <w:b/>
          <w:kern w:val="36"/>
          <w:sz w:val="32"/>
          <w:szCs w:val="32"/>
        </w:rPr>
        <w:t>e</w:t>
      </w:r>
      <w:r>
        <w:rPr>
          <w:b/>
          <w:kern w:val="36"/>
          <w:sz w:val="32"/>
          <w:szCs w:val="32"/>
        </w:rPr>
        <w:t>e</w:t>
      </w:r>
      <w:r w:rsidRPr="004C3129">
        <w:rPr>
          <w:b/>
          <w:kern w:val="36"/>
          <w:sz w:val="32"/>
          <w:szCs w:val="32"/>
        </w:rPr>
        <w:t>lnõu</w:t>
      </w:r>
    </w:p>
    <w:p w:rsidR="00E97372" w:rsidRPr="004C3129" w:rsidRDefault="00E97372" w:rsidP="00E97372">
      <w:pPr>
        <w:jc w:val="center"/>
        <w:rPr>
          <w:b/>
          <w:sz w:val="32"/>
          <w:szCs w:val="32"/>
        </w:rPr>
      </w:pPr>
      <w:r w:rsidRPr="004C3129">
        <w:rPr>
          <w:b/>
          <w:sz w:val="32"/>
          <w:szCs w:val="32"/>
        </w:rPr>
        <w:t xml:space="preserve"> juurde</w:t>
      </w:r>
    </w:p>
    <w:p w:rsidR="00E97372" w:rsidRPr="004C3129" w:rsidRDefault="00E97372" w:rsidP="00E97372">
      <w:pPr>
        <w:rPr>
          <w:b/>
        </w:rPr>
      </w:pPr>
    </w:p>
    <w:p w:rsidR="00E97372" w:rsidRPr="004C3129" w:rsidRDefault="00E97372" w:rsidP="00E97372">
      <w:pPr>
        <w:rPr>
          <w:b/>
        </w:rPr>
      </w:pPr>
    </w:p>
    <w:p w:rsidR="00E97372" w:rsidRPr="004C3129" w:rsidRDefault="00E97372" w:rsidP="00E97372">
      <w:pPr>
        <w:rPr>
          <w:b/>
        </w:rPr>
      </w:pPr>
    </w:p>
    <w:p w:rsidR="00E97372" w:rsidRPr="004A7A2D" w:rsidRDefault="00E97372" w:rsidP="00E97372">
      <w:pPr>
        <w:rPr>
          <w:b/>
          <w:sz w:val="28"/>
          <w:szCs w:val="28"/>
        </w:rPr>
      </w:pPr>
      <w:r w:rsidRPr="004A7A2D">
        <w:rPr>
          <w:b/>
          <w:sz w:val="28"/>
          <w:szCs w:val="28"/>
        </w:rPr>
        <w:t>1. Sissejuhatus</w:t>
      </w:r>
    </w:p>
    <w:p w:rsidR="00E97372" w:rsidRPr="004C3129" w:rsidRDefault="00E97372" w:rsidP="00E97372"/>
    <w:p w:rsidR="00E97372" w:rsidRPr="008B77FA" w:rsidRDefault="006F3CB9" w:rsidP="00E97372">
      <w:pPr>
        <w:jc w:val="both"/>
      </w:pPr>
      <w:r>
        <w:t>Käesolev eelnõu soodustab</w:t>
      </w:r>
      <w:r w:rsidR="00E97372" w:rsidRPr="004C3129">
        <w:t xml:space="preserve"> kõrgepalgaliste spetsialistide Eestisse toomist ja jäämist </w:t>
      </w:r>
      <w:r w:rsidR="00E97372">
        <w:t xml:space="preserve">ning uute kõrgepalgaliste töökohtade loomist </w:t>
      </w:r>
      <w:r>
        <w:t xml:space="preserve">ning </w:t>
      </w:r>
      <w:r w:rsidR="00E97372">
        <w:t>aitab Eesti majandusel</w:t>
      </w:r>
      <w:r w:rsidR="00E97372" w:rsidRPr="004C3129">
        <w:t xml:space="preserve"> muutuda </w:t>
      </w:r>
      <w:r w:rsidR="00E97372">
        <w:t>targemaks ja tootlikumaks</w:t>
      </w:r>
      <w:r w:rsidR="00E97372" w:rsidRPr="004C3129">
        <w:t xml:space="preserve">. </w:t>
      </w:r>
      <w:r w:rsidR="00E97372">
        <w:t>S</w:t>
      </w:r>
      <w:r w:rsidR="00E97372" w:rsidRPr="004C3129">
        <w:t>otsiaalmaksu</w:t>
      </w:r>
      <w:r w:rsidR="00E97372">
        <w:t xml:space="preserve"> maksmise kohustus säilib kuni</w:t>
      </w:r>
      <w:r w:rsidR="004D6FFC">
        <w:t xml:space="preserve"> 4</w:t>
      </w:r>
      <w:r w:rsidR="00E97372">
        <w:t>-kords</w:t>
      </w:r>
      <w:r w:rsidR="00E97372" w:rsidRPr="004C3129">
        <w:t>e kolme kvartali</w:t>
      </w:r>
      <w:r w:rsidR="00E97372">
        <w:t xml:space="preserve"> keskmise mediaanväljamakse suuruse brutotöötasuni (määra kehtestab iga-aastaselt Vabariigi Valitsus oma määrusega)</w:t>
      </w:r>
      <w:r w:rsidR="00E97372" w:rsidRPr="004C3129">
        <w:t xml:space="preserve"> vastavalt </w:t>
      </w:r>
      <w:r w:rsidR="00E97372">
        <w:t>Maksu- ja Tolliameti</w:t>
      </w:r>
      <w:r w:rsidR="00E97372" w:rsidRPr="004C3129">
        <w:t xml:space="preserve"> koostatud </w:t>
      </w:r>
      <w:r w:rsidR="00E97372" w:rsidRPr="008B77FA">
        <w:t xml:space="preserve">statistilistele andmetele. Sellest ülespoole jääv palgatulu ei kuulu sotsiaalmaksuga maksustamisele. </w:t>
      </w:r>
      <w:r w:rsidR="004D6FFC">
        <w:t>2016. aasta II</w:t>
      </w:r>
      <w:r w:rsidR="00E97372">
        <w:t xml:space="preserve"> kvartali seisuga oleks</w:t>
      </w:r>
      <w:r w:rsidR="004D6FFC">
        <w:t xml:space="preserve"> </w:t>
      </w:r>
      <w:r>
        <w:t xml:space="preserve">eelnõu kohaselt </w:t>
      </w:r>
      <w:r w:rsidR="004D6FFC">
        <w:t>sotsiaalmaksu ülempiir 3 432</w:t>
      </w:r>
      <w:r w:rsidR="00E97372">
        <w:t xml:space="preserve"> eurot. </w:t>
      </w:r>
    </w:p>
    <w:p w:rsidR="00E97372" w:rsidRPr="008B77FA" w:rsidRDefault="00E97372" w:rsidP="00E97372">
      <w:pPr>
        <w:jc w:val="both"/>
      </w:pPr>
    </w:p>
    <w:p w:rsidR="00E97372" w:rsidRPr="008B77FA" w:rsidRDefault="00E97372" w:rsidP="00E97372">
      <w:pPr>
        <w:jc w:val="both"/>
      </w:pPr>
      <w:r w:rsidRPr="008B77FA">
        <w:t>Valitsusele pannakse kohustus kehtestada vastavalt Maksu- ja Tolliameti andmetele igal aastal sotsiaalmaksu ülempiiri fikseeriv määrus hiljemalt eelarve aastale eelneva aasta 20. novembriks. Samal ajal toimub ka riigieelarve menetlemine, mis võimaldab muutustega paremini arvestada riigi kulude ja tulude planeerimisel ja jaotamisel.</w:t>
      </w:r>
    </w:p>
    <w:p w:rsidR="00E97372" w:rsidRPr="008B77FA" w:rsidRDefault="00E97372" w:rsidP="00E97372">
      <w:pPr>
        <w:jc w:val="both"/>
      </w:pPr>
    </w:p>
    <w:p w:rsidR="00E97372" w:rsidRPr="008B77FA" w:rsidRDefault="00E97372" w:rsidP="00E97372">
      <w:pPr>
        <w:jc w:val="both"/>
      </w:pPr>
      <w:r w:rsidRPr="008B77FA">
        <w:t xml:space="preserve">Mediaanpalga (mediaanväljamakse) kasutamine keskmise palga asemel </w:t>
      </w:r>
      <w:r w:rsidR="006F3CB9">
        <w:t>annab</w:t>
      </w:r>
      <w:r w:rsidRPr="008B77FA">
        <w:t xml:space="preserve"> majandus- ja raha</w:t>
      </w:r>
      <w:r w:rsidR="006F3CB9">
        <w:t xml:space="preserve">ndusotsuste langetamisel </w:t>
      </w:r>
      <w:r w:rsidRPr="008B77FA">
        <w:t>õigema tulemuse, kuna keskmine palk asub Eesti majandusruumis kaheksandas palgadetsiilis ja kirjeldab Eesti majanduse ja palgasaaja majanduslikku seisukorda üsna vildakalt. Mediaanpalk</w:t>
      </w:r>
      <w:r w:rsidR="006F3CB9">
        <w:t xml:space="preserve"> </w:t>
      </w:r>
      <w:r w:rsidRPr="008B77FA">
        <w:t>seevastu näitab üsna adekvaatselt Eesti keskmise palgasaaja (mitte ajada segi Eesti keskmise palga saajaga) majandusseisu.</w:t>
      </w:r>
    </w:p>
    <w:p w:rsidR="00E97372" w:rsidRPr="008B77FA" w:rsidRDefault="00E97372" w:rsidP="00E97372">
      <w:pPr>
        <w:jc w:val="both"/>
      </w:pPr>
    </w:p>
    <w:p w:rsidR="00E97372" w:rsidRDefault="006F3CB9" w:rsidP="00E97372">
      <w:pPr>
        <w:jc w:val="both"/>
      </w:pPr>
      <w:r>
        <w:t>Keskmine palk kui majandusnäitaja</w:t>
      </w:r>
      <w:r w:rsidR="00E97372" w:rsidRPr="008B77FA">
        <w:t xml:space="preserve"> on liig</w:t>
      </w:r>
      <w:r>
        <w:t xml:space="preserve">a </w:t>
      </w:r>
      <w:r w:rsidR="00E97372" w:rsidRPr="008B77FA">
        <w:t>suures sõltuvuses kõrgemas palgadetsiilis toimuvast</w:t>
      </w:r>
      <w:r>
        <w:t>. M</w:t>
      </w:r>
      <w:r w:rsidR="00E97372" w:rsidRPr="008B77FA">
        <w:t>assiivseimad palgatõusud toimuvad</w:t>
      </w:r>
      <w:r>
        <w:t xml:space="preserve"> Eestis</w:t>
      </w:r>
      <w:r w:rsidR="00E97372" w:rsidRPr="008B77FA">
        <w:t xml:space="preserve"> üha enam just suurima</w:t>
      </w:r>
      <w:r>
        <w:t xml:space="preserve"> palgaga detsiilis -</w:t>
      </w:r>
      <w:r w:rsidR="00E97372" w:rsidRPr="008B77FA">
        <w:t xml:space="preserve"> teisisõnu süveneva sisset</w:t>
      </w:r>
      <w:r>
        <w:t>ulekute kihistumise tingimustes - ja nõnda</w:t>
      </w:r>
      <w:r w:rsidR="00E97372" w:rsidRPr="008B77FA">
        <w:t xml:space="preserve"> eemaldub keskmine palk sotsiaalmajandusliku näitajana üha enam reaalsusest. Mediaa</w:t>
      </w:r>
      <w:r>
        <w:t>npalk</w:t>
      </w:r>
      <w:r w:rsidR="00E97372" w:rsidRPr="008B77FA">
        <w:t xml:space="preserve"> illustreerib palgasaajate põhimassi majanduslike võimaluste muutusi adekvaatsemalt.</w:t>
      </w:r>
    </w:p>
    <w:p w:rsidR="00E97372" w:rsidRPr="008B77FA" w:rsidRDefault="00E97372" w:rsidP="00E97372">
      <w:pPr>
        <w:jc w:val="both"/>
      </w:pPr>
    </w:p>
    <w:p w:rsidR="00E97372" w:rsidRDefault="00E97372" w:rsidP="00E97372">
      <w:pPr>
        <w:jc w:val="both"/>
        <w:rPr>
          <w:shd w:val="clear" w:color="auto" w:fill="FFFFFF"/>
        </w:rPr>
      </w:pPr>
      <w:r w:rsidRPr="004C3129">
        <w:rPr>
          <w:shd w:val="clear" w:color="auto" w:fill="FFFFFF"/>
        </w:rPr>
        <w:t xml:space="preserve">Mitmed Eesti arvamusliidrid ja organisatsioonid on </w:t>
      </w:r>
      <w:r w:rsidR="006F3CB9">
        <w:rPr>
          <w:shd w:val="clear" w:color="auto" w:fill="FFFFFF"/>
        </w:rPr>
        <w:t>juba kaheksa</w:t>
      </w:r>
      <w:r>
        <w:rPr>
          <w:shd w:val="clear" w:color="auto" w:fill="FFFFFF"/>
        </w:rPr>
        <w:t xml:space="preserve"> aastat tagasi</w:t>
      </w:r>
      <w:r w:rsidRPr="004C3129">
        <w:rPr>
          <w:shd w:val="clear" w:color="auto" w:fill="FFFFFF"/>
        </w:rPr>
        <w:t xml:space="preserve"> tulnud </w:t>
      </w:r>
      <w:r w:rsidR="004D6FFC">
        <w:rPr>
          <w:shd w:val="clear" w:color="auto" w:fill="FFFFFF"/>
        </w:rPr>
        <w:t>v</w:t>
      </w:r>
      <w:r w:rsidR="006F3CB9">
        <w:rPr>
          <w:shd w:val="clear" w:color="auto" w:fill="FFFFFF"/>
        </w:rPr>
        <w:t>äl</w:t>
      </w:r>
      <w:r>
        <w:rPr>
          <w:shd w:val="clear" w:color="auto" w:fill="FFFFFF"/>
        </w:rPr>
        <w:t xml:space="preserve">ja </w:t>
      </w:r>
      <w:r w:rsidRPr="004C3129">
        <w:rPr>
          <w:shd w:val="clear" w:color="auto" w:fill="FFFFFF"/>
        </w:rPr>
        <w:t xml:space="preserve">ideega kehtestada </w:t>
      </w:r>
      <w:hyperlink r:id="rId8" w:history="1">
        <w:r w:rsidRPr="006F3CB9">
          <w:rPr>
            <w:rStyle w:val="Hperlink"/>
            <w:color w:val="auto"/>
            <w:u w:val="none"/>
            <w:shd w:val="clear" w:color="auto" w:fill="FFFFFF"/>
          </w:rPr>
          <w:t>sotsiaalmaksule lagi</w:t>
        </w:r>
      </w:hyperlink>
      <w:r w:rsidRPr="006F3CB9">
        <w:t xml:space="preserve">. </w:t>
      </w:r>
      <w:r w:rsidR="006F3CB9">
        <w:t>See on</w:t>
      </w:r>
      <w:r>
        <w:t xml:space="preserve"> kahjuks </w:t>
      </w:r>
      <w:r w:rsidR="006F3CB9">
        <w:t xml:space="preserve">takerdunud </w:t>
      </w:r>
      <w:r>
        <w:t>eelmiste valitsuste suutmatusse või soovimatusesse ideed teostada</w:t>
      </w:r>
      <w:r>
        <w:rPr>
          <w:shd w:val="clear" w:color="auto" w:fill="FFFFFF"/>
        </w:rPr>
        <w:t xml:space="preserve">. </w:t>
      </w:r>
      <w:r w:rsidRPr="004C3129">
        <w:rPr>
          <w:shd w:val="clear" w:color="auto" w:fill="FFFFFF"/>
        </w:rPr>
        <w:t>Arengufondi</w:t>
      </w:r>
      <w:r w:rsidRPr="004C3129">
        <w:rPr>
          <w:rStyle w:val="apple-converted-space"/>
          <w:color w:val="222222"/>
          <w:shd w:val="clear" w:color="auto" w:fill="FFFFFF"/>
        </w:rPr>
        <w:t> </w:t>
      </w:r>
      <w:r>
        <w:rPr>
          <w:rStyle w:val="apple-converted-space"/>
          <w:color w:val="222222"/>
          <w:shd w:val="clear" w:color="auto" w:fill="FFFFFF"/>
        </w:rPr>
        <w:t xml:space="preserve">2009. aastal ilmunud </w:t>
      </w:r>
      <w:hyperlink r:id="rId9" w:history="1">
        <w:r w:rsidRPr="006F3CB9">
          <w:rPr>
            <w:rStyle w:val="Hperlink"/>
            <w:color w:val="auto"/>
            <w:u w:val="none"/>
            <w:shd w:val="clear" w:color="auto" w:fill="FFFFFF"/>
          </w:rPr>
          <w:t>valges paberis</w:t>
        </w:r>
      </w:hyperlink>
      <w:r w:rsidRPr="006F3CB9">
        <w:rPr>
          <w:rStyle w:val="apple-converted-space"/>
          <w:shd w:val="clear" w:color="auto" w:fill="FFFFFF"/>
        </w:rPr>
        <w:t xml:space="preserve">  </w:t>
      </w:r>
      <w:r w:rsidRPr="004C3129">
        <w:rPr>
          <w:shd w:val="clear" w:color="auto" w:fill="FFFFFF"/>
        </w:rPr>
        <w:t>pakuti, et tööjõumakse tuleb langetada. Selleks, et meelitada Eestisse kõrgepalgalisi spetsialiste välismaalt, peaks nende sotsiaalmaksul</w:t>
      </w:r>
      <w:r>
        <w:rPr>
          <w:shd w:val="clear" w:color="auto" w:fill="FFFFFF"/>
        </w:rPr>
        <w:t xml:space="preserve"> </w:t>
      </w:r>
      <w:r w:rsidR="006F3CB9">
        <w:rPr>
          <w:shd w:val="clear" w:color="auto" w:fill="FFFFFF"/>
        </w:rPr>
        <w:t>olema lagi</w:t>
      </w:r>
      <w:r>
        <w:rPr>
          <w:shd w:val="clear" w:color="auto" w:fill="FFFFFF"/>
        </w:rPr>
        <w:t xml:space="preserve">. Ka OECD </w:t>
      </w:r>
      <w:r w:rsidRPr="004C3129">
        <w:rPr>
          <w:shd w:val="clear" w:color="auto" w:fill="FFFFFF"/>
        </w:rPr>
        <w:t>koostatud</w:t>
      </w:r>
      <w:r w:rsidRPr="004C3129">
        <w:rPr>
          <w:rStyle w:val="apple-converted-space"/>
          <w:color w:val="222222"/>
          <w:shd w:val="clear" w:color="auto" w:fill="FFFFFF"/>
        </w:rPr>
        <w:t> </w:t>
      </w:r>
      <w:hyperlink r:id="rId10" w:history="1">
        <w:r w:rsidRPr="006F3CB9">
          <w:rPr>
            <w:rStyle w:val="Hperlink"/>
            <w:color w:val="auto"/>
            <w:u w:val="none"/>
            <w:shd w:val="clear" w:color="auto" w:fill="FFFFFF"/>
          </w:rPr>
          <w:t>raport</w:t>
        </w:r>
      </w:hyperlink>
      <w:r w:rsidRPr="006F3CB9">
        <w:t xml:space="preserve"> </w:t>
      </w:r>
      <w:r>
        <w:t xml:space="preserve">toob </w:t>
      </w:r>
      <w:r>
        <w:rPr>
          <w:shd w:val="clear" w:color="auto" w:fill="FFFFFF"/>
        </w:rPr>
        <w:t xml:space="preserve">Eesti kohta </w:t>
      </w:r>
      <w:r w:rsidRPr="004C3129">
        <w:rPr>
          <w:shd w:val="clear" w:color="auto" w:fill="FFFFFF"/>
        </w:rPr>
        <w:t xml:space="preserve">välja, et Eestis on tööjõumaksud </w:t>
      </w:r>
      <w:r>
        <w:rPr>
          <w:shd w:val="clear" w:color="auto" w:fill="FFFFFF"/>
        </w:rPr>
        <w:t xml:space="preserve">võrdlemisi kõrged. Tööjõumaksud moodustavad olulise osakaalu ettevõtete kuludest. Eriti avaldub see juhul, kui tegemist on kõrge tootlikkusega ja head ettevalmistust nõudvate ametikohtadega. </w:t>
      </w:r>
    </w:p>
    <w:p w:rsidR="00E97372" w:rsidRPr="004C3129" w:rsidRDefault="00E97372" w:rsidP="00E97372">
      <w:pPr>
        <w:jc w:val="both"/>
        <w:rPr>
          <w:shd w:val="clear" w:color="auto" w:fill="FFFFFF"/>
        </w:rPr>
      </w:pPr>
      <w:r w:rsidRPr="004C3129">
        <w:br/>
      </w:r>
      <w:r w:rsidRPr="004C3129">
        <w:rPr>
          <w:shd w:val="clear" w:color="auto" w:fill="FFFFFF"/>
        </w:rPr>
        <w:t xml:space="preserve">Rahvusvaheline kogemus sotsiaalmaksu laega on väga mitmekesine. </w:t>
      </w:r>
      <w:r w:rsidR="006F3CB9">
        <w:rPr>
          <w:shd w:val="clear" w:color="auto" w:fill="FFFFFF"/>
        </w:rPr>
        <w:t>Et</w:t>
      </w:r>
      <w:r w:rsidRPr="004C3129">
        <w:rPr>
          <w:shd w:val="clear" w:color="auto" w:fill="FFFFFF"/>
        </w:rPr>
        <w:t xml:space="preserve"> sotsi</w:t>
      </w:r>
      <w:r w:rsidR="006F3CB9">
        <w:rPr>
          <w:shd w:val="clear" w:color="auto" w:fill="FFFFFF"/>
        </w:rPr>
        <w:t>aalkindlustus</w:t>
      </w:r>
      <w:r w:rsidR="0026216F">
        <w:rPr>
          <w:shd w:val="clear" w:color="auto" w:fill="FFFFFF"/>
        </w:rPr>
        <w:t>-</w:t>
      </w:r>
      <w:r w:rsidR="006F3CB9">
        <w:rPr>
          <w:shd w:val="clear" w:color="auto" w:fill="FFFFFF"/>
        </w:rPr>
        <w:t>süsteemid</w:t>
      </w:r>
      <w:r w:rsidRPr="004C3129">
        <w:rPr>
          <w:shd w:val="clear" w:color="auto" w:fill="FFFFFF"/>
        </w:rPr>
        <w:t>, samuti pikaajalised maksupoliitika eesmärgid ning ühiskondlikud valupunktid</w:t>
      </w:r>
      <w:r w:rsidR="006F3CB9">
        <w:rPr>
          <w:shd w:val="clear" w:color="auto" w:fill="FFFFFF"/>
        </w:rPr>
        <w:t xml:space="preserve"> on eri riikides erinevad, tuleb </w:t>
      </w:r>
      <w:r w:rsidRPr="004C3129">
        <w:rPr>
          <w:shd w:val="clear" w:color="auto" w:fill="FFFFFF"/>
        </w:rPr>
        <w:t>küsimusele</w:t>
      </w:r>
      <w:r w:rsidR="006F3CB9">
        <w:rPr>
          <w:shd w:val="clear" w:color="auto" w:fill="FFFFFF"/>
        </w:rPr>
        <w:t xml:space="preserve"> läheneda</w:t>
      </w:r>
      <w:r w:rsidRPr="004C3129">
        <w:rPr>
          <w:shd w:val="clear" w:color="auto" w:fill="FFFFFF"/>
        </w:rPr>
        <w:t xml:space="preserve"> Eesti vaatevinklist.</w:t>
      </w:r>
    </w:p>
    <w:p w:rsidR="00E97372" w:rsidRPr="004C3129" w:rsidRDefault="00E97372" w:rsidP="00E97372">
      <w:pPr>
        <w:jc w:val="both"/>
      </w:pPr>
    </w:p>
    <w:p w:rsidR="0026216F" w:rsidRDefault="0026216F" w:rsidP="00E97372">
      <w:pPr>
        <w:jc w:val="both"/>
        <w:rPr>
          <w:b/>
          <w:sz w:val="28"/>
          <w:szCs w:val="28"/>
        </w:rPr>
      </w:pPr>
    </w:p>
    <w:p w:rsidR="00E97372" w:rsidRPr="004A7A2D" w:rsidRDefault="00E97372" w:rsidP="00E97372">
      <w:pPr>
        <w:jc w:val="both"/>
        <w:rPr>
          <w:b/>
          <w:sz w:val="28"/>
          <w:szCs w:val="28"/>
        </w:rPr>
      </w:pPr>
      <w:r w:rsidRPr="004A7A2D">
        <w:rPr>
          <w:b/>
          <w:sz w:val="28"/>
          <w:szCs w:val="28"/>
        </w:rPr>
        <w:lastRenderedPageBreak/>
        <w:t>2. Eelnõu eesmärk</w:t>
      </w:r>
    </w:p>
    <w:p w:rsidR="00E97372" w:rsidRPr="004C3129" w:rsidRDefault="00E97372" w:rsidP="00E97372">
      <w:pPr>
        <w:jc w:val="both"/>
        <w:rPr>
          <w:b/>
        </w:rPr>
      </w:pPr>
    </w:p>
    <w:p w:rsidR="00E97372" w:rsidRDefault="00E97372" w:rsidP="00E97372">
      <w:pPr>
        <w:jc w:val="both"/>
      </w:pPr>
      <w:r>
        <w:t>Eelnõu eesmärk</w:t>
      </w:r>
      <w:r w:rsidRPr="004C3129">
        <w:t xml:space="preserve"> on sotsiaalmaksu </w:t>
      </w:r>
      <w:r>
        <w:t>ülempiiri</w:t>
      </w:r>
      <w:r w:rsidRPr="004C3129">
        <w:t xml:space="preserve"> kehtestamisega soodustada oluliselt kõrgepalgaliste tipps</w:t>
      </w:r>
      <w:r w:rsidR="001C76AC">
        <w:t>p</w:t>
      </w:r>
      <w:r w:rsidRPr="004C3129">
        <w:t xml:space="preserve">etsialistide Eestisse jäämist ja siia tulemist ning uute kõrgemapalgaliste ja teadmistel baseeruvate töökohtade loomist. </w:t>
      </w:r>
    </w:p>
    <w:p w:rsidR="0026216F" w:rsidRDefault="0026216F" w:rsidP="00E97372">
      <w:pPr>
        <w:jc w:val="both"/>
      </w:pPr>
    </w:p>
    <w:p w:rsidR="00E97372" w:rsidRPr="004C3129" w:rsidRDefault="00E97372" w:rsidP="00E97372">
      <w:pPr>
        <w:jc w:val="both"/>
      </w:pPr>
      <w:r>
        <w:t xml:space="preserve">Eelnõu muudab oluliselt tootlike töökohtade maksukoormust ning annab sellega ettevõtetele ja investoritele selge signaali, et Eesti ei ole harimatu ja odava tööjõu maa, vaid on muutumas kohaks, kus luuakse olulist väärtust ja hinnatakse edasiviivat ning tarka majandustegevust.  </w:t>
      </w:r>
    </w:p>
    <w:p w:rsidR="00E97372" w:rsidRPr="004C3129" w:rsidRDefault="00E97372" w:rsidP="00E97372">
      <w:pPr>
        <w:jc w:val="both"/>
      </w:pPr>
    </w:p>
    <w:p w:rsidR="00E97372" w:rsidRPr="004C3129" w:rsidRDefault="00E97372" w:rsidP="00E97372">
      <w:pPr>
        <w:rPr>
          <w:color w:val="000000"/>
          <w:shd w:val="clear" w:color="auto" w:fill="FFFFFF"/>
        </w:rPr>
      </w:pPr>
      <w:r w:rsidRPr="004C3129">
        <w:rPr>
          <w:color w:val="000000"/>
          <w:shd w:val="clear" w:color="auto" w:fill="FFFFFF"/>
        </w:rPr>
        <w:t xml:space="preserve">Mikromajanduslik mõju sotsiaalmaksu ülempiiri kehtestamisel avaldub </w:t>
      </w:r>
      <w:r w:rsidR="0026216F">
        <w:rPr>
          <w:color w:val="000000"/>
          <w:shd w:val="clear" w:color="auto" w:fill="FFFFFF"/>
        </w:rPr>
        <w:t>ü</w:t>
      </w:r>
      <w:r w:rsidRPr="004C3129">
        <w:rPr>
          <w:color w:val="000000"/>
          <w:shd w:val="clear" w:color="auto" w:fill="FFFFFF"/>
        </w:rPr>
        <w:t>ksikisiku seisukohalt</w:t>
      </w:r>
      <w:r>
        <w:rPr>
          <w:color w:val="000000"/>
          <w:shd w:val="clear" w:color="auto" w:fill="FFFFFF"/>
        </w:rPr>
        <w:t xml:space="preserve"> selles</w:t>
      </w:r>
      <w:r w:rsidRPr="004C3129">
        <w:rPr>
          <w:color w:val="000000"/>
          <w:shd w:val="clear" w:color="auto" w:fill="FFFFFF"/>
        </w:rPr>
        <w:t>, et ettevõtjad on nõus nende spetsiifiliste teadmiste eest kõrgemat palka maksma ja eraettevõtja seisukohalt</w:t>
      </w:r>
      <w:r>
        <w:rPr>
          <w:color w:val="000000"/>
          <w:shd w:val="clear" w:color="auto" w:fill="FFFFFF"/>
        </w:rPr>
        <w:t xml:space="preserve"> selles</w:t>
      </w:r>
      <w:r w:rsidRPr="004C3129">
        <w:rPr>
          <w:color w:val="000000"/>
          <w:shd w:val="clear" w:color="auto" w:fill="FFFFFF"/>
        </w:rPr>
        <w:t>, et spetsiifiliste teadmistega kaasneb e</w:t>
      </w:r>
      <w:r>
        <w:rPr>
          <w:color w:val="000000"/>
          <w:shd w:val="clear" w:color="auto" w:fill="FFFFFF"/>
        </w:rPr>
        <w:t xml:space="preserve">ttevõttes tootlikkuse kasv ja ühtlasi </w:t>
      </w:r>
      <w:r w:rsidRPr="004C3129">
        <w:rPr>
          <w:color w:val="000000"/>
          <w:shd w:val="clear" w:color="auto" w:fill="FFFFFF"/>
        </w:rPr>
        <w:t xml:space="preserve">tööjõukulude vähenemine. </w:t>
      </w:r>
    </w:p>
    <w:p w:rsidR="00E97372" w:rsidRPr="004C3129" w:rsidRDefault="00E97372" w:rsidP="00E97372">
      <w:pPr>
        <w:rPr>
          <w:color w:val="000000"/>
          <w:shd w:val="clear" w:color="auto" w:fill="FFFFFF"/>
        </w:rPr>
      </w:pPr>
    </w:p>
    <w:p w:rsidR="00E97372" w:rsidRDefault="00E97372" w:rsidP="00E97372">
      <w:pPr>
        <w:rPr>
          <w:color w:val="000000"/>
          <w:shd w:val="clear" w:color="auto" w:fill="FFFFFF"/>
        </w:rPr>
      </w:pPr>
      <w:r w:rsidRPr="004C3129">
        <w:rPr>
          <w:color w:val="000000"/>
          <w:shd w:val="clear" w:color="auto" w:fill="FFFFFF"/>
        </w:rPr>
        <w:t xml:space="preserve">Kõrgepalgaliste töökohtade loomise makromajanduslik mõju avaldub positiivselt tööhõives, samas </w:t>
      </w:r>
      <w:r w:rsidR="001C76AC">
        <w:rPr>
          <w:color w:val="000000"/>
          <w:shd w:val="clear" w:color="auto" w:fill="FFFFFF"/>
        </w:rPr>
        <w:t xml:space="preserve">on otsene riigieelarveline mõju </w:t>
      </w:r>
      <w:r w:rsidRPr="004C3129">
        <w:rPr>
          <w:color w:val="000000"/>
          <w:shd w:val="clear" w:color="auto" w:fill="FFFFFF"/>
        </w:rPr>
        <w:t>negatiivne, kuna vähenevad sotsiaalmaksu laekumised. Ülempiiri kehtestamisega kaasnev</w:t>
      </w:r>
      <w:r>
        <w:rPr>
          <w:color w:val="000000"/>
          <w:shd w:val="clear" w:color="auto" w:fill="FFFFFF"/>
        </w:rPr>
        <w:t>at kõrgepalgaliste spetsialistide</w:t>
      </w:r>
      <w:r w:rsidRPr="004C3129">
        <w:rPr>
          <w:color w:val="000000"/>
          <w:shd w:val="clear" w:color="auto" w:fill="FFFFFF"/>
        </w:rPr>
        <w:t xml:space="preserve"> juur</w:t>
      </w:r>
      <w:r>
        <w:rPr>
          <w:color w:val="000000"/>
          <w:shd w:val="clear" w:color="auto" w:fill="FFFFFF"/>
        </w:rPr>
        <w:t>d</w:t>
      </w:r>
      <w:r w:rsidRPr="004C3129">
        <w:rPr>
          <w:color w:val="000000"/>
          <w:shd w:val="clear" w:color="auto" w:fill="FFFFFF"/>
        </w:rPr>
        <w:t>ekasvu</w:t>
      </w:r>
      <w:r>
        <w:rPr>
          <w:color w:val="000000"/>
          <w:shd w:val="clear" w:color="auto" w:fill="FFFFFF"/>
        </w:rPr>
        <w:t xml:space="preserve"> on täpselt võimatu arvutada. Justiitsministeeriumi kokku kutsutud konkurentsivõime juhtgrupi raporti kohaselt aitaks </w:t>
      </w:r>
      <w:r w:rsidRPr="00C04511">
        <w:rPr>
          <w:color w:val="000000"/>
          <w:shd w:val="clear" w:color="auto" w:fill="FFFFFF"/>
        </w:rPr>
        <w:t>sotsiaalmaksu lagi</w:t>
      </w:r>
      <w:r>
        <w:rPr>
          <w:color w:val="000000"/>
          <w:shd w:val="clear" w:color="auto" w:fill="FFFFFF"/>
        </w:rPr>
        <w:t xml:space="preserve"> hinnanguliselt</w:t>
      </w:r>
      <w:r w:rsidRPr="00C04511">
        <w:rPr>
          <w:color w:val="000000"/>
          <w:shd w:val="clear" w:color="auto" w:fill="FFFFFF"/>
        </w:rPr>
        <w:t xml:space="preserve"> luua iga kümne keskmisest kõrgema palgaga töötajale lisaks üheteistkümnenda kõrgepalgalise töökoha, ilma et tööandja tööjõukulude kogumaht suureneks</w:t>
      </w:r>
      <w:r>
        <w:rPr>
          <w:color w:val="000000"/>
          <w:shd w:val="clear" w:color="auto" w:fill="FFFFFF"/>
        </w:rPr>
        <w:t>.</w:t>
      </w:r>
      <w:r>
        <w:rPr>
          <w:rStyle w:val="Allmrkuseviide"/>
          <w:color w:val="000000"/>
          <w:shd w:val="clear" w:color="auto" w:fill="FFFFFF"/>
        </w:rPr>
        <w:footnoteReference w:id="1"/>
      </w:r>
    </w:p>
    <w:p w:rsidR="00E97372" w:rsidRDefault="00E97372" w:rsidP="00E97372">
      <w:pPr>
        <w:rPr>
          <w:color w:val="000000"/>
          <w:shd w:val="clear" w:color="auto" w:fill="FFFFFF"/>
        </w:rPr>
      </w:pPr>
    </w:p>
    <w:p w:rsidR="00E97372" w:rsidRPr="001062F2" w:rsidRDefault="00E97372" w:rsidP="00E97372">
      <w:pPr>
        <w:rPr>
          <w:color w:val="000000"/>
          <w:shd w:val="clear" w:color="auto" w:fill="FFFFFF"/>
        </w:rPr>
      </w:pPr>
      <w:r>
        <w:rPr>
          <w:color w:val="000000"/>
          <w:shd w:val="clear" w:color="auto" w:fill="FFFFFF"/>
        </w:rPr>
        <w:t>T</w:t>
      </w:r>
      <w:r w:rsidRPr="004C3129">
        <w:rPr>
          <w:color w:val="000000"/>
          <w:shd w:val="clear" w:color="auto" w:fill="FFFFFF"/>
        </w:rPr>
        <w:t>eiste riikide praktika näitab, et sotsiaalmaksu ülempiir on kehtestatu</w:t>
      </w:r>
      <w:r>
        <w:rPr>
          <w:color w:val="000000"/>
          <w:shd w:val="clear" w:color="auto" w:fill="FFFFFF"/>
        </w:rPr>
        <w:t>d eri kujul mitmes EL liikmesriigi</w:t>
      </w:r>
      <w:r w:rsidR="0026216F">
        <w:rPr>
          <w:color w:val="000000"/>
          <w:shd w:val="clear" w:color="auto" w:fill="FFFFFF"/>
        </w:rPr>
        <w:t>s</w:t>
      </w:r>
      <w:r w:rsidRPr="004C3129">
        <w:rPr>
          <w:color w:val="000000"/>
          <w:shd w:val="clear" w:color="auto" w:fill="FFFFFF"/>
        </w:rPr>
        <w:t xml:space="preserve">. </w:t>
      </w:r>
      <w:r w:rsidR="0026216F">
        <w:t xml:space="preserve">Selle </w:t>
      </w:r>
      <w:r w:rsidRPr="004C3129">
        <w:t xml:space="preserve">kohta  on võimalik </w:t>
      </w:r>
      <w:r>
        <w:t>saada teavet</w:t>
      </w:r>
      <w:r w:rsidRPr="004C3129">
        <w:t xml:space="preserve"> 2008. aastal </w:t>
      </w:r>
      <w:r>
        <w:t xml:space="preserve">Riigikogu õigus- ja analüüsiosakonna poolt </w:t>
      </w:r>
      <w:r w:rsidRPr="004C3129">
        <w:t>tehtud</w:t>
      </w:r>
      <w:r>
        <w:t xml:space="preserve"> ülevaatest:</w:t>
      </w:r>
      <w:r w:rsidRPr="004C3129">
        <w:t xml:space="preserve"> </w:t>
      </w:r>
      <w:hyperlink r:id="rId11" w:history="1">
        <w:r w:rsidRPr="004C3129">
          <w:rPr>
            <w:rStyle w:val="Hperlink"/>
            <w:shd w:val="clear" w:color="auto" w:fill="FFFFFF"/>
          </w:rPr>
          <w:t>Sotsiaalmaksude ülempiirid.doc</w:t>
        </w:r>
      </w:hyperlink>
      <w:r>
        <w:rPr>
          <w:b/>
          <w:color w:val="000000"/>
          <w:shd w:val="clear" w:color="auto" w:fill="FFFFFF"/>
        </w:rPr>
        <w:t xml:space="preserve">. </w:t>
      </w:r>
      <w:r>
        <w:rPr>
          <w:color w:val="000000"/>
          <w:shd w:val="clear" w:color="auto" w:fill="FFFFFF"/>
        </w:rPr>
        <w:t>Sellest analüüsist selgus, et m</w:t>
      </w:r>
      <w:r w:rsidRPr="001062F2">
        <w:rPr>
          <w:color w:val="000000"/>
          <w:shd w:val="clear" w:color="auto" w:fill="FFFFFF"/>
        </w:rPr>
        <w:t>ingisugust ü</w:t>
      </w:r>
      <w:r w:rsidR="001C76AC">
        <w:rPr>
          <w:color w:val="000000"/>
          <w:shd w:val="clear" w:color="auto" w:fill="FFFFFF"/>
        </w:rPr>
        <w:t>lempiiri, ehk lage</w:t>
      </w:r>
      <w:r>
        <w:rPr>
          <w:color w:val="000000"/>
          <w:shd w:val="clear" w:color="auto" w:fill="FFFFFF"/>
        </w:rPr>
        <w:t xml:space="preserve"> kohaldati</w:t>
      </w:r>
      <w:r w:rsidR="001C76AC">
        <w:rPr>
          <w:color w:val="000000"/>
          <w:shd w:val="clear" w:color="auto" w:fill="FFFFFF"/>
        </w:rPr>
        <w:t xml:space="preserve"> 20</w:t>
      </w:r>
      <w:r>
        <w:rPr>
          <w:color w:val="000000"/>
          <w:shd w:val="clear" w:color="auto" w:fill="FFFFFF"/>
        </w:rPr>
        <w:t xml:space="preserve"> Euroopa Liidu riigis</w:t>
      </w:r>
      <w:r w:rsidRPr="001062F2">
        <w:rPr>
          <w:color w:val="000000"/>
          <w:shd w:val="clear" w:color="auto" w:fill="FFFFFF"/>
        </w:rPr>
        <w:t xml:space="preserve">. Ülempiiride suurused on ka </w:t>
      </w:r>
      <w:r w:rsidR="001C76AC">
        <w:rPr>
          <w:color w:val="000000"/>
          <w:shd w:val="clear" w:color="auto" w:fill="FFFFFF"/>
        </w:rPr>
        <w:t>väga erinevad, ulatudes mitme</w:t>
      </w:r>
      <w:r w:rsidRPr="001062F2">
        <w:rPr>
          <w:color w:val="000000"/>
          <w:shd w:val="clear" w:color="auto" w:fill="FFFFFF"/>
        </w:rPr>
        <w:t>kümnest tuhandest eu</w:t>
      </w:r>
      <w:r w:rsidR="001C76AC">
        <w:rPr>
          <w:color w:val="000000"/>
          <w:shd w:val="clear" w:color="auto" w:fill="FFFFFF"/>
        </w:rPr>
        <w:t>rost mõne</w:t>
      </w:r>
      <w:r>
        <w:rPr>
          <w:color w:val="000000"/>
          <w:shd w:val="clear" w:color="auto" w:fill="FFFFFF"/>
        </w:rPr>
        <w:t>saja</w:t>
      </w:r>
      <w:r w:rsidR="001C76AC">
        <w:rPr>
          <w:color w:val="000000"/>
          <w:shd w:val="clear" w:color="auto" w:fill="FFFFFF"/>
        </w:rPr>
        <w:t xml:space="preserve"> euro</w:t>
      </w:r>
      <w:r>
        <w:rPr>
          <w:color w:val="000000"/>
          <w:shd w:val="clear" w:color="auto" w:fill="FFFFFF"/>
        </w:rPr>
        <w:t>ni</w:t>
      </w:r>
      <w:r w:rsidR="001C76AC">
        <w:rPr>
          <w:color w:val="000000"/>
          <w:shd w:val="clear" w:color="auto" w:fill="FFFFFF"/>
        </w:rPr>
        <w:t xml:space="preserve"> kuus</w:t>
      </w:r>
      <w:r>
        <w:rPr>
          <w:color w:val="000000"/>
          <w:shd w:val="clear" w:color="auto" w:fill="FFFFFF"/>
        </w:rPr>
        <w:t>.</w:t>
      </w:r>
      <w:r w:rsidRPr="001062F2">
        <w:rPr>
          <w:color w:val="000000"/>
          <w:shd w:val="clear" w:color="auto" w:fill="FFFFFF"/>
        </w:rPr>
        <w:t xml:space="preserve"> Kuna Euroopa riikide palgad ning elatustase on erinevad ning</w:t>
      </w:r>
      <w:r>
        <w:rPr>
          <w:color w:val="000000"/>
          <w:shd w:val="clear" w:color="auto" w:fill="FFFFFF"/>
        </w:rPr>
        <w:t xml:space="preserve"> ülempiirid muutuvas sageli iga-a</w:t>
      </w:r>
      <w:r w:rsidRPr="001062F2">
        <w:rPr>
          <w:color w:val="000000"/>
          <w:shd w:val="clear" w:color="auto" w:fill="FFFFFF"/>
        </w:rPr>
        <w:t>astaselt, tuleks arvestada</w:t>
      </w:r>
      <w:r w:rsidR="001C76AC">
        <w:rPr>
          <w:color w:val="000000"/>
          <w:shd w:val="clear" w:color="auto" w:fill="FFFFFF"/>
        </w:rPr>
        <w:t xml:space="preserve">, et need laed ei ole alati üks </w:t>
      </w:r>
      <w:r w:rsidRPr="001062F2">
        <w:rPr>
          <w:color w:val="000000"/>
          <w:shd w:val="clear" w:color="auto" w:fill="FFFFFF"/>
        </w:rPr>
        <w:t>üheselt võrreldavad</w:t>
      </w:r>
      <w:r>
        <w:rPr>
          <w:color w:val="000000"/>
          <w:shd w:val="clear" w:color="auto" w:fill="FFFFFF"/>
        </w:rPr>
        <w:t>.</w:t>
      </w:r>
    </w:p>
    <w:p w:rsidR="00E97372" w:rsidRDefault="00E97372" w:rsidP="00E97372">
      <w:pPr>
        <w:rPr>
          <w:b/>
          <w:color w:val="000000"/>
          <w:shd w:val="clear" w:color="auto" w:fill="FFFFFF"/>
        </w:rPr>
      </w:pPr>
    </w:p>
    <w:p w:rsidR="00E97372" w:rsidRPr="00D04820" w:rsidRDefault="001C76AC" w:rsidP="00E97372">
      <w:pPr>
        <w:rPr>
          <w:color w:val="000000"/>
          <w:shd w:val="clear" w:color="auto" w:fill="FFFFFF"/>
        </w:rPr>
      </w:pPr>
      <w:r>
        <w:rPr>
          <w:color w:val="000000"/>
          <w:shd w:val="clear" w:color="auto" w:fill="FFFFFF"/>
        </w:rPr>
        <w:t>Siiski</w:t>
      </w:r>
      <w:r w:rsidR="00E97372">
        <w:rPr>
          <w:color w:val="000000"/>
          <w:shd w:val="clear" w:color="auto" w:fill="FFFFFF"/>
        </w:rPr>
        <w:t xml:space="preserve"> on</w:t>
      </w:r>
      <w:r w:rsidR="00E97372" w:rsidRPr="000E5843">
        <w:rPr>
          <w:color w:val="000000"/>
          <w:shd w:val="clear" w:color="auto" w:fill="FFFFFF"/>
        </w:rPr>
        <w:t xml:space="preserve"> </w:t>
      </w:r>
      <w:r w:rsidR="00E97372">
        <w:rPr>
          <w:color w:val="000000"/>
          <w:shd w:val="clear" w:color="auto" w:fill="FFFFFF"/>
        </w:rPr>
        <w:t>Euroopa Liidus</w:t>
      </w:r>
      <w:r w:rsidR="00E97372" w:rsidRPr="000E5843">
        <w:rPr>
          <w:color w:val="000000"/>
          <w:shd w:val="clear" w:color="auto" w:fill="FFFFFF"/>
        </w:rPr>
        <w:t xml:space="preserve"> sotsiaalmaksusoodustusega seoses tekkinud mitmeid kogemusi, mis tõestavad, et </w:t>
      </w:r>
      <w:r w:rsidR="00E97372">
        <w:rPr>
          <w:color w:val="000000"/>
          <w:shd w:val="clear" w:color="auto" w:fill="FFFFFF"/>
        </w:rPr>
        <w:t>see mudel töötab, kui arvestab kohali</w:t>
      </w:r>
      <w:r w:rsidR="00E97372" w:rsidRPr="000E5843">
        <w:rPr>
          <w:color w:val="000000"/>
          <w:shd w:val="clear" w:color="auto" w:fill="FFFFFF"/>
        </w:rPr>
        <w:t>ke oludega ja püüdleb riigieelarve ja ettevõtete eesmärkide tasakaalustamise poole.</w:t>
      </w:r>
      <w:r w:rsidR="00E97372">
        <w:rPr>
          <w:color w:val="000000"/>
          <w:shd w:val="clear" w:color="auto" w:fill="FFFFFF"/>
        </w:rPr>
        <w:t xml:space="preserve"> </w:t>
      </w:r>
      <w:r w:rsidR="00E97372" w:rsidRPr="004C3129">
        <w:t>Laekumata jäävat maksutulu olemasol</w:t>
      </w:r>
      <w:r w:rsidR="00E97372">
        <w:t>evatelt töökohtadelt ületaks</w:t>
      </w:r>
      <w:r w:rsidR="00E97372" w:rsidRPr="004C3129">
        <w:t xml:space="preserve"> uute töökohtade </w:t>
      </w:r>
      <w:r w:rsidR="00E97372">
        <w:t>ja palgakasvuga</w:t>
      </w:r>
      <w:r w:rsidR="00E97372" w:rsidRPr="004C3129">
        <w:t xml:space="preserve"> tekitatav maksutulu.</w:t>
      </w:r>
    </w:p>
    <w:p w:rsidR="00E97372" w:rsidRPr="004C3129" w:rsidRDefault="00E97372" w:rsidP="00E97372"/>
    <w:p w:rsidR="00E97372" w:rsidRDefault="00E97372" w:rsidP="00E97372">
      <w:pPr>
        <w:rPr>
          <w:rStyle w:val="Hperlink"/>
        </w:rPr>
      </w:pPr>
      <w:r w:rsidRPr="004C3129">
        <w:rPr>
          <w:color w:val="000000"/>
          <w:shd w:val="clear" w:color="auto" w:fill="FFFFFF"/>
        </w:rPr>
        <w:t>Eestis on varem sotsiaalmaksu ülempiir</w:t>
      </w:r>
      <w:r>
        <w:rPr>
          <w:color w:val="000000"/>
          <w:shd w:val="clear" w:color="auto" w:fill="FFFFFF"/>
        </w:rPr>
        <w:t>i pakutud kehtestada sõltuvalt keskmise brutokuupalga kolmekordsest määrast.</w:t>
      </w:r>
      <w:r w:rsidRPr="004C3129">
        <w:rPr>
          <w:color w:val="000000"/>
          <w:shd w:val="clear" w:color="auto" w:fill="FFFFFF"/>
        </w:rPr>
        <w:t xml:space="preserve"> Selleks on vastava</w:t>
      </w:r>
      <w:r>
        <w:rPr>
          <w:color w:val="000000"/>
          <w:shd w:val="clear" w:color="auto" w:fill="FFFFFF"/>
        </w:rPr>
        <w:t>i</w:t>
      </w:r>
      <w:r w:rsidRPr="004C3129">
        <w:rPr>
          <w:color w:val="000000"/>
          <w:shd w:val="clear" w:color="auto" w:fill="FFFFFF"/>
        </w:rPr>
        <w:t xml:space="preserve">d </w:t>
      </w:r>
      <w:r w:rsidRPr="00FC5062">
        <w:rPr>
          <w:shd w:val="clear" w:color="auto" w:fill="FFFFFF"/>
        </w:rPr>
        <w:t>ettepaneku</w:t>
      </w:r>
      <w:r>
        <w:rPr>
          <w:shd w:val="clear" w:color="auto" w:fill="FFFFFF"/>
        </w:rPr>
        <w:t>i</w:t>
      </w:r>
      <w:r w:rsidRPr="00FC5062">
        <w:rPr>
          <w:shd w:val="clear" w:color="auto" w:fill="FFFFFF"/>
        </w:rPr>
        <w:t xml:space="preserve">d teinud </w:t>
      </w:r>
      <w:r w:rsidRPr="00FC5062">
        <w:t>Teenusmajanduse Koja maksutöörühm. Vastavad</w:t>
      </w:r>
      <w:r w:rsidRPr="004C3129">
        <w:t xml:space="preserve"> üksiksasjalikumad dokumendid vt. </w:t>
      </w:r>
      <w:hyperlink r:id="rId12" w:history="1">
        <w:r w:rsidRPr="004C3129">
          <w:rPr>
            <w:rStyle w:val="Hperlink"/>
          </w:rPr>
          <w:t>http://teenusmajandus.ee/kojast/toogrupid/maksutoogrupp/</w:t>
        </w:r>
      </w:hyperlink>
    </w:p>
    <w:p w:rsidR="0026216F" w:rsidRDefault="00E97372" w:rsidP="00E97372">
      <w:pPr>
        <w:pStyle w:val="Normaallaadveeb"/>
        <w:rPr>
          <w:rStyle w:val="Hperlink"/>
          <w:color w:val="auto"/>
          <w:u w:val="none"/>
        </w:rPr>
      </w:pPr>
      <w:r w:rsidRPr="001C76AC">
        <w:rPr>
          <w:rStyle w:val="Hperlink"/>
          <w:color w:val="auto"/>
          <w:u w:val="none"/>
        </w:rPr>
        <w:t>Konkreetselt sotsiaalmaksu osas on Teenusmajanduse Koda asunud seisukohale, et tuleb kehtestada 3-kordse keskmise palga suurune sotsiaalmaksu lagi ning vabastada ajutise elamisloaga välismaalased sotsiaalmaksust</w:t>
      </w:r>
    </w:p>
    <w:p w:rsidR="00E97372" w:rsidRPr="0026216F" w:rsidRDefault="00E97372" w:rsidP="0026216F">
      <w:pPr>
        <w:pStyle w:val="Normaallaadveeb"/>
      </w:pPr>
      <w:r>
        <w:lastRenderedPageBreak/>
        <w:t>Eesti Tööandjate Keskliit on tein</w:t>
      </w:r>
      <w:r w:rsidR="001C76AC">
        <w:t>ud oma manifestis ettepaneku: „R</w:t>
      </w:r>
      <w:r>
        <w:t>iik langetab otsustavalt tööjõumakse, et kaitsta Eesti ettevõtete konkurentsivõimet, tuua uusi investoreid ja töökohti. Riigieelarve vajak kaetakse lisatöökohtade loomise ja avaliku sektori kulude pidurdamisega.“</w:t>
      </w:r>
      <w:r>
        <w:rPr>
          <w:rStyle w:val="Allmrkuseviide"/>
        </w:rPr>
        <w:footnoteReference w:id="2"/>
      </w:r>
    </w:p>
    <w:p w:rsidR="00E97372" w:rsidRPr="004A7A2D" w:rsidRDefault="00E97372" w:rsidP="00E97372">
      <w:pPr>
        <w:jc w:val="both"/>
        <w:rPr>
          <w:b/>
          <w:sz w:val="28"/>
          <w:szCs w:val="28"/>
        </w:rPr>
      </w:pPr>
      <w:r w:rsidRPr="004A7A2D">
        <w:rPr>
          <w:b/>
          <w:sz w:val="28"/>
          <w:szCs w:val="28"/>
        </w:rPr>
        <w:t>3. Eelnõu sisu ja võrdlev analüüs</w:t>
      </w:r>
    </w:p>
    <w:p w:rsidR="00E97372" w:rsidRPr="004C3129" w:rsidRDefault="00E97372" w:rsidP="00E97372">
      <w:pPr>
        <w:jc w:val="both"/>
        <w:rPr>
          <w:b/>
        </w:rPr>
      </w:pPr>
    </w:p>
    <w:p w:rsidR="00E97372" w:rsidRPr="004C3129" w:rsidRDefault="00E97372" w:rsidP="00E97372">
      <w:pPr>
        <w:jc w:val="both"/>
      </w:pPr>
      <w:r w:rsidRPr="004C3129">
        <w:t xml:space="preserve">Eelnõu sisu on sotsiaalmaksuseaduse täiendamine uue paragrahviga eesmärgiga kehtestada sotsiaalmaksu ülempiir. Seni ei </w:t>
      </w:r>
      <w:r>
        <w:t>ole</w:t>
      </w:r>
      <w:r w:rsidRPr="004C3129">
        <w:t xml:space="preserve"> Eestis sotsiaalmaksu piirmäära kehtestatud. Tegemist on uue nähtusega Eesti maksupoliitika</w:t>
      </w:r>
      <w:r>
        <w:t>s</w:t>
      </w:r>
      <w:r w:rsidRPr="004C3129">
        <w:t>. Sotsiaalmaksu piirmäära kehtestamine sõltuvalt mediaanväljamaksest on seotud järgmiste kaalutlustega:</w:t>
      </w:r>
    </w:p>
    <w:p w:rsidR="00E97372" w:rsidRPr="004C3129" w:rsidRDefault="00E97372" w:rsidP="00E97372">
      <w:pPr>
        <w:jc w:val="both"/>
      </w:pPr>
    </w:p>
    <w:p w:rsidR="00E97372" w:rsidRDefault="00E97372" w:rsidP="00E97372">
      <w:pPr>
        <w:jc w:val="both"/>
      </w:pPr>
      <w:r>
        <w:t xml:space="preserve">a) Maksu- ja Tolliametil </w:t>
      </w:r>
      <w:r w:rsidRPr="004C3129">
        <w:t xml:space="preserve">on olemas pädevad andmed iga kvartali kohta, mis võimaldab määra korrektselt kehtestada. Määra sidumine ametliku statistikaga võimaldab välistada poliitilisest hetkeseisust või muudest kahjulikest motiividest kantud läbimõtlemata otsuseid selles vallas. </w:t>
      </w:r>
    </w:p>
    <w:p w:rsidR="00E97372" w:rsidRPr="004C3129" w:rsidRDefault="00E97372" w:rsidP="00E97372">
      <w:pPr>
        <w:jc w:val="both"/>
      </w:pPr>
    </w:p>
    <w:p w:rsidR="00E97372" w:rsidRDefault="00E97372" w:rsidP="00E97372">
      <w:pPr>
        <w:jc w:val="both"/>
      </w:pPr>
      <w:r w:rsidRPr="004C3129">
        <w:t>b) Sotsiaalmaksu piirmäära sidumine dünaamilise näitajaga on vajalik selleks, et paremini arvestada Eesti majanduse ja tööturu muutustega ning vältida liigset kahju eelarvelaekumistele. Otsuste langetamine sotsiaalmaksulae puhul peab tagama tasakaal</w:t>
      </w:r>
      <w:r>
        <w:t>u tööandjate, töövõtjate ja riig</w:t>
      </w:r>
      <w:r w:rsidRPr="004C3129">
        <w:t xml:space="preserve">i </w:t>
      </w:r>
      <w:r>
        <w:t xml:space="preserve">huvide vahel, sest vaid nii </w:t>
      </w:r>
      <w:r w:rsidRPr="004C3129">
        <w:t>annab</w:t>
      </w:r>
      <w:r>
        <w:t xml:space="preserve"> see</w:t>
      </w:r>
      <w:r w:rsidRPr="004C3129">
        <w:t xml:space="preserve"> tuntava kasu majandusele. </w:t>
      </w:r>
    </w:p>
    <w:p w:rsidR="00E97372" w:rsidRPr="004C3129" w:rsidRDefault="00E97372" w:rsidP="00E97372">
      <w:pPr>
        <w:jc w:val="both"/>
      </w:pPr>
    </w:p>
    <w:p w:rsidR="00E97372" w:rsidRPr="004C3129" w:rsidRDefault="00E97372" w:rsidP="00E97372">
      <w:pPr>
        <w:pStyle w:val="Vahedeta"/>
        <w:rPr>
          <w:shd w:val="clear" w:color="auto" w:fill="FFFFFF"/>
        </w:rPr>
      </w:pPr>
      <w:r w:rsidRPr="004C3129">
        <w:t xml:space="preserve">c) </w:t>
      </w:r>
      <w:r w:rsidRPr="004C3129">
        <w:rPr>
          <w:shd w:val="clear" w:color="auto" w:fill="FFFFFF"/>
        </w:rPr>
        <w:t xml:space="preserve">Sotsiaalmaksu lae ja teiste </w:t>
      </w:r>
      <w:r>
        <w:rPr>
          <w:shd w:val="clear" w:color="auto" w:fill="FFFFFF"/>
        </w:rPr>
        <w:t>poliitilis-majanduslikult kokku</w:t>
      </w:r>
      <w:r w:rsidRPr="004C3129">
        <w:rPr>
          <w:shd w:val="clear" w:color="auto" w:fill="FFFFFF"/>
        </w:rPr>
        <w:t>lepitavate määrade sidumine just mediaanpalgaga, mitte keskmise palgaga, on ad</w:t>
      </w:r>
      <w:r>
        <w:rPr>
          <w:shd w:val="clear" w:color="auto" w:fill="FFFFFF"/>
        </w:rPr>
        <w:t>ekvaatsem. Pidevalt suurenevate kääride tõttu</w:t>
      </w:r>
      <w:r w:rsidRPr="004C3129">
        <w:rPr>
          <w:shd w:val="clear" w:color="auto" w:fill="FFFFFF"/>
        </w:rPr>
        <w:t xml:space="preserve"> madala- ja kõrgepalgaliste vahel, ei näita </w:t>
      </w:r>
      <w:r>
        <w:rPr>
          <w:shd w:val="clear" w:color="auto" w:fill="FFFFFF"/>
        </w:rPr>
        <w:t xml:space="preserve">keskmine palk </w:t>
      </w:r>
      <w:r w:rsidRPr="004C3129">
        <w:rPr>
          <w:shd w:val="clear" w:color="auto" w:fill="FFFFFF"/>
        </w:rPr>
        <w:t xml:space="preserve">adekvaatselt palgasaaja (mediaanpalga </w:t>
      </w:r>
      <w:r>
        <w:rPr>
          <w:shd w:val="clear" w:color="auto" w:fill="FFFFFF"/>
        </w:rPr>
        <w:t>saaja) olukorda. Keskmine palk kirjelda</w:t>
      </w:r>
      <w:r w:rsidRPr="004C3129">
        <w:rPr>
          <w:shd w:val="clear" w:color="auto" w:fill="FFFFFF"/>
        </w:rPr>
        <w:t>b reaalset majanduslikku olukorda üha moon</w:t>
      </w:r>
      <w:r>
        <w:rPr>
          <w:shd w:val="clear" w:color="auto" w:fill="FFFFFF"/>
        </w:rPr>
        <w:t>utatumalt.</w:t>
      </w:r>
    </w:p>
    <w:p w:rsidR="00E97372" w:rsidRPr="004C3129" w:rsidRDefault="00E97372" w:rsidP="00E97372">
      <w:pPr>
        <w:jc w:val="both"/>
      </w:pPr>
      <w:r w:rsidRPr="004C3129">
        <w:tab/>
      </w:r>
    </w:p>
    <w:p w:rsidR="00E97372" w:rsidRDefault="00E97372" w:rsidP="00E97372">
      <w:pPr>
        <w:jc w:val="both"/>
      </w:pPr>
      <w:r w:rsidRPr="004C3129">
        <w:t>Sots</w:t>
      </w:r>
      <w:r>
        <w:t>iaalmaksu ülempiiri</w:t>
      </w:r>
      <w:r w:rsidRPr="004C3129">
        <w:t xml:space="preserve"> kehtestamisel peab arvestama naaberriikide vastavaid tingimusi nii, et kõrgepalgaliste spetsialistide liikumine toimuks naaberriikidest Eestisse, mitte vastupidi.</w:t>
      </w:r>
      <w:r>
        <w:t xml:space="preserve"> Justiitsminister kutsus 2015. aasta sügisel kokku juhtrühma, mis koosnes ettevõtjatest ning neid koondavatest organisatsioonidest ja ühendustest, et selgitada välja ettevõtlust takistavad ja kõige enam muutmist vajavad valdkonnad või teha ettepanekud riigi tegevusteks, millega saaks soodustada ettevõtlust ja elavdada majanduselu. Juhtrühma ülesanne oli koostada valitsusele Eesti ärikeskkonna konkurentsivõime parandamise raport. </w:t>
      </w:r>
    </w:p>
    <w:p w:rsidR="00E97372" w:rsidRDefault="00E97372" w:rsidP="00E97372">
      <w:pPr>
        <w:jc w:val="both"/>
      </w:pPr>
    </w:p>
    <w:p w:rsidR="00E97372" w:rsidRDefault="00E97372" w:rsidP="00E97372">
      <w:pPr>
        <w:jc w:val="both"/>
      </w:pPr>
      <w:r>
        <w:t>Raporti maksuosa punkt kolm näeb ette sotsiaalmaksu maksimummäära kehtestamist:</w:t>
      </w:r>
      <w:r w:rsidR="001C76AC">
        <w:t xml:space="preserve"> </w:t>
      </w:r>
      <w:r>
        <w:t>„Tööjõumaksudele ülempiiri kehtestamine looks soodsama keskkonna keskmisest kõrgem</w:t>
      </w:r>
      <w:r w:rsidR="001C76AC">
        <w:t>a palgaga töökohtade tekkeks, sh teadmis</w:t>
      </w:r>
      <w:r>
        <w:t xml:space="preserve">põhistes valdkondades. </w:t>
      </w:r>
      <w:r w:rsidR="004D6FFC">
        <w:t xml:space="preserve">/…/ </w:t>
      </w:r>
      <w:r w:rsidRPr="004D6FFC">
        <w:t>Hinnanguliselt aitaks sotsiaalmaksu lagi luua iga kümne keskmisest kõrgema palgaga töötajale lisaks üheteistkümnenda kõrgepalgalise töökoha, ilma et tööandja tööjõukulude kogumaht suureneks</w:t>
      </w:r>
      <w:r w:rsidR="001C76AC">
        <w:t>.</w:t>
      </w:r>
      <w:r w:rsidR="001C76AC">
        <w:rPr>
          <w:b/>
        </w:rPr>
        <w:t>“</w:t>
      </w:r>
    </w:p>
    <w:p w:rsidR="00E97372" w:rsidRDefault="00E97372" w:rsidP="00E97372">
      <w:pPr>
        <w:jc w:val="both"/>
      </w:pPr>
    </w:p>
    <w:p w:rsidR="00E97372" w:rsidRPr="004A7A2D" w:rsidRDefault="00E97372" w:rsidP="00E97372">
      <w:pPr>
        <w:jc w:val="both"/>
        <w:rPr>
          <w:b/>
        </w:rPr>
      </w:pPr>
      <w:r w:rsidRPr="004A7A2D">
        <w:rPr>
          <w:b/>
        </w:rPr>
        <w:t>Sotsiaalmaksu ülempiiri kehtestamisega kaasnevad faktorid:</w:t>
      </w:r>
    </w:p>
    <w:p w:rsidR="00E97372" w:rsidRPr="004C3129" w:rsidRDefault="00E97372" w:rsidP="00E97372">
      <w:pPr>
        <w:jc w:val="both"/>
      </w:pPr>
    </w:p>
    <w:p w:rsidR="00E97372" w:rsidRPr="004C3129" w:rsidRDefault="004D6FFC" w:rsidP="0026216F">
      <w:pPr>
        <w:jc w:val="both"/>
      </w:pPr>
      <w:r>
        <w:t>Tänase seisuga on nimetatud 4</w:t>
      </w:r>
      <w:r w:rsidR="00E97372" w:rsidRPr="004C3129">
        <w:t>-kordse me</w:t>
      </w:r>
      <w:r w:rsidR="00A5271D">
        <w:t>diaanpalga saajate hulk Eestis üle</w:t>
      </w:r>
      <w:r w:rsidR="00E97372" w:rsidRPr="004C3129">
        <w:t xml:space="preserve"> 10000 töövõtjat ja Rahandusministeeriumi hinnangul langeb nimetatud kõrgepalgaliste töökohtade arv kehtiva maksuseaduse tingimustes paari protsendi võrra aastas. Lae kehtestamine tähendab </w:t>
      </w:r>
      <w:r w:rsidR="00E97372" w:rsidRPr="004C3129">
        <w:rPr>
          <w:shd w:val="clear" w:color="auto" w:fill="FFFFFF"/>
        </w:rPr>
        <w:t xml:space="preserve">tööandja </w:t>
      </w:r>
      <w:r w:rsidR="00E97372" w:rsidRPr="004C3129">
        <w:rPr>
          <w:shd w:val="clear" w:color="auto" w:fill="FFFFFF"/>
        </w:rPr>
        <w:lastRenderedPageBreak/>
        <w:t xml:space="preserve">jaoks keskmiselt 6-protsendilist tööjõukulude vähenemist nende töötajate osas, keda lagi puudutab. </w:t>
      </w:r>
      <w:r w:rsidR="00E97372">
        <w:rPr>
          <w:shd w:val="clear" w:color="auto" w:fill="FFFFFF"/>
        </w:rPr>
        <w:t>K</w:t>
      </w:r>
      <w:r w:rsidR="00E97372" w:rsidRPr="004C3129">
        <w:rPr>
          <w:shd w:val="clear" w:color="auto" w:fill="FFFFFF"/>
        </w:rPr>
        <w:t>õrgepalgaliste töötajate hõive kasvab umbes 10% aastas.</w:t>
      </w:r>
    </w:p>
    <w:p w:rsidR="00E97372" w:rsidRPr="004C3129" w:rsidRDefault="00E97372" w:rsidP="00E97372">
      <w:pPr>
        <w:ind w:left="1068"/>
        <w:jc w:val="both"/>
      </w:pPr>
    </w:p>
    <w:p w:rsidR="00E97372" w:rsidRPr="004C3129" w:rsidRDefault="00E97372" w:rsidP="0026216F">
      <w:pPr>
        <w:jc w:val="both"/>
      </w:pPr>
      <w:r w:rsidRPr="004C3129">
        <w:t xml:space="preserve">Rahandusministeeriumi hinnangul tekitab tänaste kõrgepalgaliste suhtes ettepanekus toodud sotsiaalmaksu maksimummäära kehtestamine </w:t>
      </w:r>
      <w:r w:rsidR="001C76AC">
        <w:t xml:space="preserve">2017. a seisuga </w:t>
      </w:r>
      <w:r w:rsidRPr="004C3129">
        <w:t>sots</w:t>
      </w:r>
      <w:r>
        <w:t>iaal</w:t>
      </w:r>
      <w:r w:rsidR="001C76AC">
        <w:t>maksu vähemlaekumise u 87</w:t>
      </w:r>
      <w:r w:rsidRPr="004C3129">
        <w:t xml:space="preserve"> miljonit eurot aastas. </w:t>
      </w:r>
    </w:p>
    <w:p w:rsidR="00E97372" w:rsidRPr="004C3129" w:rsidRDefault="00E97372" w:rsidP="00E97372">
      <w:pPr>
        <w:ind w:left="1068"/>
        <w:jc w:val="both"/>
      </w:pPr>
    </w:p>
    <w:p w:rsidR="00E97372" w:rsidRPr="004C3129" w:rsidRDefault="00E97372" w:rsidP="0026216F">
      <w:pPr>
        <w:jc w:val="both"/>
      </w:pPr>
      <w:r w:rsidRPr="004C3129">
        <w:t>Sotsiaalmaksu vähemlaekumise kompenseeri</w:t>
      </w:r>
      <w:r>
        <w:t>vad</w:t>
      </w:r>
      <w:r w:rsidRPr="004C3129">
        <w:t xml:space="preserve"> tänu soodsale</w:t>
      </w:r>
      <w:r>
        <w:t xml:space="preserve"> maksukeskkonnale lisanduvad kõrgepalgalised töökohad</w:t>
      </w:r>
      <w:r w:rsidRPr="004C3129">
        <w:t xml:space="preserve"> ning töökohtade välismaale kolimise vältimisest tekkiv maksutulu, kuhu tuleb sisse arvestada ka tarbimismaksud.</w:t>
      </w:r>
      <w:r w:rsidR="00DA5F69">
        <w:t xml:space="preserve"> </w:t>
      </w:r>
    </w:p>
    <w:p w:rsidR="00E97372" w:rsidRPr="004C3129" w:rsidRDefault="00E97372" w:rsidP="00E97372">
      <w:pPr>
        <w:ind w:left="1068"/>
        <w:jc w:val="both"/>
      </w:pPr>
    </w:p>
    <w:p w:rsidR="0061058C" w:rsidRPr="005469DF" w:rsidRDefault="00E97372" w:rsidP="0026216F">
      <w:pPr>
        <w:jc w:val="both"/>
      </w:pPr>
      <w:r w:rsidRPr="004C3129">
        <w:t>Ühiskonna sotsiaalse õiglustunde võimalikku riivet kompenseerib teadmine, et kõrgepalgalised töökohad panustavad solidaarsesse sotsiaalsüsteem</w:t>
      </w:r>
      <w:r w:rsidR="001C76AC">
        <w:t>i kordi</w:t>
      </w:r>
      <w:r w:rsidRPr="004C3129">
        <w:t xml:space="preserve"> rohkem kui riigi keskmine palgasaaja. Meetme turgutav mõju ettevõtetele suurendab kõrgepalgaliste töökohtade arvu, mille tulemusel suurenevad tulu- ja sotsiaalmaksu laekumiste </w:t>
      </w:r>
      <w:r w:rsidRPr="005469DF">
        <w:t xml:space="preserve">absoluutarvud ning samuti kaudsete maksude laekumine tarbimise hoogustumise tulemusel. </w:t>
      </w:r>
      <w:r w:rsidR="0061058C" w:rsidRPr="005469DF">
        <w:t xml:space="preserve">Ettevõtjad saavad kasutada vabanenud ressursse ka töötajate koolitamiseks ja tagasihoidlikuma palgatasemega töötajate palga tõstmiseks, mis </w:t>
      </w:r>
      <w:r w:rsidR="005469DF">
        <w:t>väljendub positiivselt ettevõt</w:t>
      </w:r>
      <w:r w:rsidR="005469DF" w:rsidRPr="005469DF">
        <w:t>e</w:t>
      </w:r>
      <w:r w:rsidR="005469DF">
        <w:t>te</w:t>
      </w:r>
      <w:r w:rsidR="005469DF" w:rsidRPr="005469DF">
        <w:t xml:space="preserve"> arengus ja konkurentsivõimes</w:t>
      </w:r>
      <w:r w:rsidR="0061058C" w:rsidRPr="005469DF">
        <w:t xml:space="preserve">.  </w:t>
      </w:r>
    </w:p>
    <w:p w:rsidR="0061058C" w:rsidRDefault="0061058C" w:rsidP="0026216F">
      <w:pPr>
        <w:jc w:val="both"/>
      </w:pPr>
    </w:p>
    <w:p w:rsidR="00E97372" w:rsidRDefault="00E97372" w:rsidP="0026216F">
      <w:pPr>
        <w:jc w:val="both"/>
      </w:pPr>
      <w:r w:rsidRPr="004C3129">
        <w:t xml:space="preserve">Sotsiaalmaksulagi seotakse mediaanpalgaga, mis on nö õiglane keskmine palk. Mediaanväljamakse on summa, millest 50% töötajatest saab rohkem ja 50% vähem tasu. </w:t>
      </w:r>
    </w:p>
    <w:p w:rsidR="00E97372" w:rsidRPr="004C3129" w:rsidRDefault="00E97372" w:rsidP="00E97372">
      <w:pPr>
        <w:ind w:left="1068"/>
        <w:jc w:val="both"/>
      </w:pPr>
    </w:p>
    <w:p w:rsidR="00E97372" w:rsidRDefault="00E97372" w:rsidP="0026216F">
      <w:pPr>
        <w:jc w:val="both"/>
      </w:pPr>
      <w:r w:rsidRPr="004C3129">
        <w:t>Demograafiline mõju: soodus maksukeskkond kõrgepalgalisele üksikisikust töövõtjale motiveerib kvalifitseeritud tööjõu liikumist Eestisse ning takistab sellise tööjõu lahkumist Eestist. Vananevale ja vaikselt kahanevale ühiskonnale on eluliselt vajalik, et majandus- ja maksukeskkond toetaks kõrg</w:t>
      </w:r>
      <w:r>
        <w:t>e tootlikkusega tarku töökohti.</w:t>
      </w:r>
    </w:p>
    <w:p w:rsidR="00E97372" w:rsidRPr="004A7A2D" w:rsidRDefault="00E97372" w:rsidP="00E97372">
      <w:pPr>
        <w:jc w:val="both"/>
        <w:rPr>
          <w:sz w:val="28"/>
          <w:szCs w:val="28"/>
          <w:shd w:val="clear" w:color="auto" w:fill="FFFFFF"/>
        </w:rPr>
      </w:pPr>
    </w:p>
    <w:p w:rsidR="00E97372" w:rsidRPr="004A7A2D" w:rsidRDefault="00E97372" w:rsidP="00E97372">
      <w:pPr>
        <w:jc w:val="both"/>
        <w:rPr>
          <w:b/>
          <w:sz w:val="28"/>
          <w:szCs w:val="28"/>
        </w:rPr>
      </w:pPr>
      <w:r w:rsidRPr="004A7A2D">
        <w:rPr>
          <w:b/>
          <w:sz w:val="28"/>
          <w:szCs w:val="28"/>
        </w:rPr>
        <w:t>4. Seaduse mõjud ja rakendamiseks vajalikud kulutused</w:t>
      </w:r>
    </w:p>
    <w:p w:rsidR="00E97372" w:rsidRPr="004C3129" w:rsidRDefault="00E97372" w:rsidP="00E97372">
      <w:pPr>
        <w:jc w:val="both"/>
      </w:pPr>
    </w:p>
    <w:p w:rsidR="00E97372" w:rsidRDefault="00E97372" w:rsidP="00E97372">
      <w:pPr>
        <w:jc w:val="both"/>
      </w:pPr>
      <w:r w:rsidRPr="004C3129">
        <w:t>Otsene sots</w:t>
      </w:r>
      <w:r>
        <w:t>iaal</w:t>
      </w:r>
      <w:r w:rsidRPr="004C3129">
        <w:t>maksude laekum</w:t>
      </w:r>
      <w:r w:rsidR="001750B9">
        <w:t>ise vähenemine 2017. aasta seisuga</w:t>
      </w:r>
      <w:r w:rsidR="004D6FFC">
        <w:t xml:space="preserve"> oleks u 87</w:t>
      </w:r>
      <w:r w:rsidRPr="004C3129">
        <w:t xml:space="preserve"> mln eurot</w:t>
      </w:r>
      <w:r w:rsidR="001750B9">
        <w:t xml:space="preserve"> aastas</w:t>
      </w:r>
      <w:r w:rsidRPr="004C3129">
        <w:t>. Selle kompenseerib osaliselt vastavalt suurenev tarb</w:t>
      </w:r>
      <w:r w:rsidR="004D6FFC">
        <w:t>i</w:t>
      </w:r>
      <w:r w:rsidRPr="004C3129">
        <w:t>mismaksude kasv.</w:t>
      </w:r>
    </w:p>
    <w:p w:rsidR="005469DF" w:rsidRPr="004C3129" w:rsidRDefault="005469DF" w:rsidP="00E97372">
      <w:pPr>
        <w:jc w:val="both"/>
      </w:pPr>
    </w:p>
    <w:p w:rsidR="00E97372" w:rsidRPr="005469DF" w:rsidRDefault="005469DF" w:rsidP="00E97372">
      <w:pPr>
        <w:jc w:val="both"/>
        <w:rPr>
          <w:b/>
        </w:rPr>
      </w:pPr>
      <w:r w:rsidRPr="005B7A8C">
        <w:rPr>
          <w:b/>
        </w:rPr>
        <w:t>Rahandusministeeriumi ametlik arvutus seoses sotsiaalmaksulae kehtestamisega</w:t>
      </w:r>
    </w:p>
    <w:p w:rsidR="00E97372" w:rsidRPr="005B7A8C" w:rsidRDefault="00E97372" w:rsidP="00E97372">
      <w:pPr>
        <w:jc w:val="both"/>
        <w:rPr>
          <w:b/>
        </w:rPr>
      </w:pPr>
    </w:p>
    <w:tbl>
      <w:tblPr>
        <w:tblStyle w:val="Kontuurtabel"/>
        <w:tblpPr w:leftFromText="141" w:rightFromText="141" w:vertAnchor="text" w:horzAnchor="margin" w:tblpY="-25"/>
        <w:tblW w:w="0" w:type="auto"/>
        <w:tblLook w:val="04A0" w:firstRow="1" w:lastRow="0" w:firstColumn="1" w:lastColumn="0" w:noHBand="0" w:noVBand="1"/>
      </w:tblPr>
      <w:tblGrid>
        <w:gridCol w:w="2088"/>
        <w:gridCol w:w="2088"/>
        <w:gridCol w:w="2089"/>
        <w:gridCol w:w="2089"/>
      </w:tblGrid>
      <w:tr w:rsidR="005469DF" w:rsidTr="005469DF">
        <w:tc>
          <w:tcPr>
            <w:tcW w:w="2088" w:type="dxa"/>
          </w:tcPr>
          <w:p w:rsidR="005469DF" w:rsidRPr="005469DF" w:rsidRDefault="005469DF" w:rsidP="005469DF">
            <w:pPr>
              <w:rPr>
                <w:b/>
                <w:color w:val="000000"/>
              </w:rPr>
            </w:pPr>
            <w:r w:rsidRPr="005469DF">
              <w:rPr>
                <w:b/>
                <w:color w:val="000000"/>
              </w:rPr>
              <w:t>LAGI (kuus)</w:t>
            </w:r>
          </w:p>
        </w:tc>
        <w:tc>
          <w:tcPr>
            <w:tcW w:w="2088" w:type="dxa"/>
            <w:tcBorders>
              <w:bottom w:val="single" w:sz="4" w:space="0" w:color="auto"/>
            </w:tcBorders>
          </w:tcPr>
          <w:p w:rsidR="005469DF" w:rsidRPr="005469DF" w:rsidRDefault="005469DF" w:rsidP="005469DF">
            <w:pPr>
              <w:jc w:val="center"/>
              <w:rPr>
                <w:b/>
                <w:color w:val="000000"/>
              </w:rPr>
            </w:pPr>
            <w:r w:rsidRPr="005469DF">
              <w:rPr>
                <w:b/>
                <w:color w:val="000000"/>
              </w:rPr>
              <w:t>2017</w:t>
            </w:r>
          </w:p>
        </w:tc>
        <w:tc>
          <w:tcPr>
            <w:tcW w:w="2089" w:type="dxa"/>
            <w:tcBorders>
              <w:bottom w:val="single" w:sz="4" w:space="0" w:color="auto"/>
            </w:tcBorders>
          </w:tcPr>
          <w:p w:rsidR="005469DF" w:rsidRPr="005469DF" w:rsidRDefault="005469DF" w:rsidP="005469DF">
            <w:pPr>
              <w:jc w:val="center"/>
              <w:rPr>
                <w:b/>
                <w:color w:val="000000"/>
              </w:rPr>
            </w:pPr>
            <w:r w:rsidRPr="005469DF">
              <w:rPr>
                <w:b/>
                <w:color w:val="000000"/>
              </w:rPr>
              <w:t>2018</w:t>
            </w:r>
          </w:p>
        </w:tc>
        <w:tc>
          <w:tcPr>
            <w:tcW w:w="2089" w:type="dxa"/>
            <w:tcBorders>
              <w:bottom w:val="single" w:sz="4" w:space="0" w:color="auto"/>
            </w:tcBorders>
          </w:tcPr>
          <w:p w:rsidR="005469DF" w:rsidRPr="005469DF" w:rsidRDefault="005469DF" w:rsidP="005469DF">
            <w:pPr>
              <w:jc w:val="center"/>
              <w:rPr>
                <w:b/>
                <w:color w:val="000000"/>
              </w:rPr>
            </w:pPr>
            <w:r w:rsidRPr="005469DF">
              <w:rPr>
                <w:b/>
                <w:color w:val="000000"/>
              </w:rPr>
              <w:t>2019</w:t>
            </w:r>
          </w:p>
        </w:tc>
      </w:tr>
      <w:tr w:rsidR="005469DF" w:rsidTr="006A69FC">
        <w:tc>
          <w:tcPr>
            <w:tcW w:w="2088" w:type="dxa"/>
          </w:tcPr>
          <w:p w:rsidR="005469DF" w:rsidRDefault="005469DF" w:rsidP="005469DF">
            <w:pPr>
              <w:rPr>
                <w:color w:val="000000"/>
              </w:rPr>
            </w:pPr>
          </w:p>
        </w:tc>
        <w:tc>
          <w:tcPr>
            <w:tcW w:w="6266" w:type="dxa"/>
            <w:gridSpan w:val="3"/>
          </w:tcPr>
          <w:p w:rsidR="005469DF" w:rsidRPr="005469DF" w:rsidRDefault="005469DF" w:rsidP="005469DF">
            <w:pPr>
              <w:jc w:val="center"/>
              <w:rPr>
                <w:b/>
                <w:color w:val="000000"/>
              </w:rPr>
            </w:pPr>
            <w:r w:rsidRPr="005469DF">
              <w:rPr>
                <w:b/>
                <w:color w:val="000000"/>
              </w:rPr>
              <w:t xml:space="preserve">MÕJU </w:t>
            </w:r>
            <w:r>
              <w:rPr>
                <w:b/>
                <w:color w:val="000000"/>
              </w:rPr>
              <w:t>(</w:t>
            </w:r>
            <w:r w:rsidRPr="005469DF">
              <w:rPr>
                <w:b/>
                <w:color w:val="000000"/>
              </w:rPr>
              <w:t>m</w:t>
            </w:r>
            <w:r>
              <w:rPr>
                <w:b/>
                <w:color w:val="000000"/>
              </w:rPr>
              <w:t xml:space="preserve">iljonit </w:t>
            </w:r>
            <w:r w:rsidRPr="005469DF">
              <w:rPr>
                <w:b/>
                <w:color w:val="000000"/>
              </w:rPr>
              <w:t>eurot</w:t>
            </w:r>
            <w:r>
              <w:rPr>
                <w:b/>
                <w:color w:val="000000"/>
              </w:rPr>
              <w:t>)</w:t>
            </w:r>
          </w:p>
        </w:tc>
      </w:tr>
      <w:tr w:rsidR="005469DF" w:rsidTr="005469DF">
        <w:tc>
          <w:tcPr>
            <w:tcW w:w="2088" w:type="dxa"/>
          </w:tcPr>
          <w:p w:rsidR="005469DF" w:rsidRPr="00E546E4" w:rsidRDefault="005469DF" w:rsidP="005469DF">
            <w:r w:rsidRPr="00E546E4">
              <w:t>2500</w:t>
            </w:r>
          </w:p>
        </w:tc>
        <w:tc>
          <w:tcPr>
            <w:tcW w:w="2088" w:type="dxa"/>
          </w:tcPr>
          <w:p w:rsidR="005469DF" w:rsidRPr="00E546E4" w:rsidRDefault="005469DF" w:rsidP="005469DF">
            <w:r w:rsidRPr="00E546E4">
              <w:t>136,7</w:t>
            </w:r>
          </w:p>
        </w:tc>
        <w:tc>
          <w:tcPr>
            <w:tcW w:w="2089" w:type="dxa"/>
          </w:tcPr>
          <w:p w:rsidR="005469DF" w:rsidRPr="00E546E4" w:rsidRDefault="005469DF" w:rsidP="005469DF">
            <w:r>
              <w:rPr>
                <w:color w:val="000000"/>
              </w:rPr>
              <w:t>156,6</w:t>
            </w:r>
          </w:p>
        </w:tc>
        <w:tc>
          <w:tcPr>
            <w:tcW w:w="2089" w:type="dxa"/>
          </w:tcPr>
          <w:p w:rsidR="005469DF" w:rsidRPr="00E546E4" w:rsidRDefault="005469DF" w:rsidP="005469DF">
            <w:r>
              <w:rPr>
                <w:color w:val="000000"/>
              </w:rPr>
              <w:t>184,7</w:t>
            </w:r>
          </w:p>
        </w:tc>
      </w:tr>
      <w:tr w:rsidR="005469DF" w:rsidTr="005469DF">
        <w:tc>
          <w:tcPr>
            <w:tcW w:w="2088" w:type="dxa"/>
          </w:tcPr>
          <w:p w:rsidR="005469DF" w:rsidRPr="00E546E4" w:rsidRDefault="005469DF" w:rsidP="005469DF">
            <w:r w:rsidRPr="00E546E4">
              <w:t>3000</w:t>
            </w:r>
          </w:p>
        </w:tc>
        <w:tc>
          <w:tcPr>
            <w:tcW w:w="2088" w:type="dxa"/>
          </w:tcPr>
          <w:p w:rsidR="005469DF" w:rsidRPr="00E546E4" w:rsidRDefault="005469DF" w:rsidP="005469DF">
            <w:r w:rsidRPr="00E546E4">
              <w:t>106,2</w:t>
            </w:r>
          </w:p>
        </w:tc>
        <w:tc>
          <w:tcPr>
            <w:tcW w:w="2089" w:type="dxa"/>
          </w:tcPr>
          <w:p w:rsidR="005469DF" w:rsidRPr="00E546E4" w:rsidRDefault="005469DF" w:rsidP="005469DF">
            <w:r>
              <w:rPr>
                <w:color w:val="000000"/>
              </w:rPr>
              <w:t>120,7</w:t>
            </w:r>
          </w:p>
        </w:tc>
        <w:tc>
          <w:tcPr>
            <w:tcW w:w="2089" w:type="dxa"/>
          </w:tcPr>
          <w:p w:rsidR="005469DF" w:rsidRPr="00E546E4" w:rsidRDefault="005469DF" w:rsidP="005469DF">
            <w:r>
              <w:rPr>
                <w:color w:val="000000"/>
              </w:rPr>
              <w:t>141,4</w:t>
            </w:r>
          </w:p>
        </w:tc>
      </w:tr>
      <w:tr w:rsidR="005469DF" w:rsidTr="005469DF">
        <w:tc>
          <w:tcPr>
            <w:tcW w:w="2088" w:type="dxa"/>
          </w:tcPr>
          <w:p w:rsidR="005469DF" w:rsidRPr="00E546E4" w:rsidRDefault="005469DF" w:rsidP="005469DF">
            <w:r w:rsidRPr="00E546E4">
              <w:t>3500</w:t>
            </w:r>
          </w:p>
        </w:tc>
        <w:tc>
          <w:tcPr>
            <w:tcW w:w="2088" w:type="dxa"/>
          </w:tcPr>
          <w:p w:rsidR="005469DF" w:rsidRPr="00E546E4" w:rsidRDefault="005469DF" w:rsidP="005469DF">
            <w:r w:rsidRPr="00E546E4">
              <w:t>87,1</w:t>
            </w:r>
          </w:p>
        </w:tc>
        <w:tc>
          <w:tcPr>
            <w:tcW w:w="2089" w:type="dxa"/>
          </w:tcPr>
          <w:p w:rsidR="005469DF" w:rsidRPr="00E546E4" w:rsidRDefault="005469DF" w:rsidP="005469DF">
            <w:r>
              <w:rPr>
                <w:color w:val="000000"/>
              </w:rPr>
              <w:t>98,0</w:t>
            </w:r>
          </w:p>
        </w:tc>
        <w:tc>
          <w:tcPr>
            <w:tcW w:w="2089" w:type="dxa"/>
          </w:tcPr>
          <w:p w:rsidR="005469DF" w:rsidRPr="00E546E4" w:rsidRDefault="005469DF" w:rsidP="005469DF">
            <w:r w:rsidRPr="004C3129">
              <w:rPr>
                <w:color w:val="000000"/>
              </w:rPr>
              <w:t>113,4</w:t>
            </w:r>
          </w:p>
        </w:tc>
      </w:tr>
      <w:tr w:rsidR="005469DF" w:rsidTr="005469DF">
        <w:tc>
          <w:tcPr>
            <w:tcW w:w="2088" w:type="dxa"/>
          </w:tcPr>
          <w:p w:rsidR="005469DF" w:rsidRPr="00E546E4" w:rsidRDefault="005469DF" w:rsidP="005469DF">
            <w:r w:rsidRPr="00E546E4">
              <w:t>4000</w:t>
            </w:r>
          </w:p>
        </w:tc>
        <w:tc>
          <w:tcPr>
            <w:tcW w:w="2088" w:type="dxa"/>
          </w:tcPr>
          <w:p w:rsidR="005469DF" w:rsidRPr="00E546E4" w:rsidRDefault="005469DF" w:rsidP="005469DF">
            <w:r w:rsidRPr="00E546E4">
              <w:t>75,4</w:t>
            </w:r>
          </w:p>
        </w:tc>
        <w:tc>
          <w:tcPr>
            <w:tcW w:w="2089" w:type="dxa"/>
          </w:tcPr>
          <w:p w:rsidR="005469DF" w:rsidRPr="00E546E4" w:rsidRDefault="005469DF" w:rsidP="005469DF">
            <w:r w:rsidRPr="004C3129">
              <w:rPr>
                <w:color w:val="000000"/>
              </w:rPr>
              <w:t>83,9</w:t>
            </w:r>
          </w:p>
        </w:tc>
        <w:tc>
          <w:tcPr>
            <w:tcW w:w="2089" w:type="dxa"/>
          </w:tcPr>
          <w:p w:rsidR="005469DF" w:rsidRPr="00E546E4" w:rsidRDefault="005469DF" w:rsidP="005469DF">
            <w:r w:rsidRPr="004C3129">
              <w:rPr>
                <w:color w:val="000000"/>
              </w:rPr>
              <w:t>95,8</w:t>
            </w:r>
          </w:p>
        </w:tc>
      </w:tr>
    </w:tbl>
    <w:p w:rsidR="00E97372" w:rsidRPr="004C3129" w:rsidRDefault="00E97372" w:rsidP="00E97372">
      <w:pPr>
        <w:jc w:val="both"/>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5469DF">
      <w:pPr>
        <w:rPr>
          <w:b/>
          <w:bCs/>
          <w:color w:val="000000"/>
        </w:rPr>
      </w:pPr>
    </w:p>
    <w:p w:rsidR="005469DF" w:rsidRDefault="005469DF" w:rsidP="006C521B">
      <w:pPr>
        <w:ind w:left="1416"/>
        <w:rPr>
          <w:b/>
          <w:bCs/>
          <w:color w:val="000000"/>
        </w:rPr>
      </w:pPr>
    </w:p>
    <w:tbl>
      <w:tblPr>
        <w:tblStyle w:val="Kontuurtabel"/>
        <w:tblpPr w:leftFromText="141" w:rightFromText="141" w:vertAnchor="text" w:horzAnchor="margin" w:tblpY="-25"/>
        <w:tblW w:w="0" w:type="auto"/>
        <w:tblLook w:val="04A0" w:firstRow="1" w:lastRow="0" w:firstColumn="1" w:lastColumn="0" w:noHBand="0" w:noVBand="1"/>
      </w:tblPr>
      <w:tblGrid>
        <w:gridCol w:w="2088"/>
        <w:gridCol w:w="2088"/>
        <w:gridCol w:w="2089"/>
        <w:gridCol w:w="2089"/>
      </w:tblGrid>
      <w:tr w:rsidR="005469DF" w:rsidTr="00DD5ACD">
        <w:tc>
          <w:tcPr>
            <w:tcW w:w="2088" w:type="dxa"/>
          </w:tcPr>
          <w:p w:rsidR="005469DF" w:rsidRPr="005469DF" w:rsidRDefault="005469DF" w:rsidP="00DD5ACD">
            <w:pPr>
              <w:rPr>
                <w:b/>
                <w:color w:val="000000"/>
              </w:rPr>
            </w:pPr>
            <w:r w:rsidRPr="005469DF">
              <w:rPr>
                <w:b/>
                <w:color w:val="000000"/>
              </w:rPr>
              <w:t>LAGI (kuus)</w:t>
            </w:r>
          </w:p>
        </w:tc>
        <w:tc>
          <w:tcPr>
            <w:tcW w:w="2088" w:type="dxa"/>
            <w:tcBorders>
              <w:bottom w:val="single" w:sz="4" w:space="0" w:color="auto"/>
            </w:tcBorders>
          </w:tcPr>
          <w:p w:rsidR="005469DF" w:rsidRPr="005469DF" w:rsidRDefault="005469DF" w:rsidP="005469DF">
            <w:pPr>
              <w:jc w:val="center"/>
              <w:rPr>
                <w:b/>
                <w:color w:val="000000"/>
              </w:rPr>
            </w:pPr>
            <w:r w:rsidRPr="005469DF">
              <w:rPr>
                <w:b/>
                <w:color w:val="000000"/>
              </w:rPr>
              <w:t>2017</w:t>
            </w:r>
          </w:p>
        </w:tc>
        <w:tc>
          <w:tcPr>
            <w:tcW w:w="2089" w:type="dxa"/>
            <w:tcBorders>
              <w:bottom w:val="single" w:sz="4" w:space="0" w:color="auto"/>
            </w:tcBorders>
          </w:tcPr>
          <w:p w:rsidR="005469DF" w:rsidRPr="005469DF" w:rsidRDefault="005469DF" w:rsidP="005469DF">
            <w:pPr>
              <w:jc w:val="center"/>
              <w:rPr>
                <w:b/>
                <w:color w:val="000000"/>
              </w:rPr>
            </w:pPr>
            <w:r w:rsidRPr="005469DF">
              <w:rPr>
                <w:b/>
                <w:color w:val="000000"/>
              </w:rPr>
              <w:t>2018</w:t>
            </w:r>
          </w:p>
        </w:tc>
        <w:tc>
          <w:tcPr>
            <w:tcW w:w="2089" w:type="dxa"/>
            <w:tcBorders>
              <w:bottom w:val="single" w:sz="4" w:space="0" w:color="auto"/>
            </w:tcBorders>
          </w:tcPr>
          <w:p w:rsidR="005469DF" w:rsidRPr="005469DF" w:rsidRDefault="005469DF" w:rsidP="005469DF">
            <w:pPr>
              <w:jc w:val="center"/>
              <w:rPr>
                <w:b/>
                <w:color w:val="000000"/>
              </w:rPr>
            </w:pPr>
            <w:r w:rsidRPr="005469DF">
              <w:rPr>
                <w:b/>
                <w:color w:val="000000"/>
              </w:rPr>
              <w:t>2019</w:t>
            </w:r>
          </w:p>
        </w:tc>
      </w:tr>
      <w:tr w:rsidR="005469DF" w:rsidTr="00DD5ACD">
        <w:tc>
          <w:tcPr>
            <w:tcW w:w="2088" w:type="dxa"/>
          </w:tcPr>
          <w:p w:rsidR="005469DF" w:rsidRDefault="005469DF" w:rsidP="00DD5ACD">
            <w:pPr>
              <w:rPr>
                <w:color w:val="000000"/>
              </w:rPr>
            </w:pPr>
          </w:p>
        </w:tc>
        <w:tc>
          <w:tcPr>
            <w:tcW w:w="6266" w:type="dxa"/>
            <w:gridSpan w:val="3"/>
          </w:tcPr>
          <w:p w:rsidR="005469DF" w:rsidRPr="005469DF" w:rsidRDefault="005469DF" w:rsidP="005469DF">
            <w:pPr>
              <w:jc w:val="center"/>
              <w:rPr>
                <w:b/>
                <w:color w:val="000000"/>
              </w:rPr>
            </w:pPr>
            <w:r w:rsidRPr="005469DF">
              <w:rPr>
                <w:b/>
                <w:color w:val="000000"/>
              </w:rPr>
              <w:t>MÕJU</w:t>
            </w:r>
            <w:r>
              <w:rPr>
                <w:b/>
                <w:color w:val="000000"/>
              </w:rPr>
              <w:t>TATUD INIMESTE ARV</w:t>
            </w:r>
          </w:p>
        </w:tc>
      </w:tr>
      <w:tr w:rsidR="005469DF" w:rsidTr="00DD5ACD">
        <w:tc>
          <w:tcPr>
            <w:tcW w:w="2088" w:type="dxa"/>
          </w:tcPr>
          <w:p w:rsidR="005469DF" w:rsidRPr="00E546E4" w:rsidRDefault="005469DF" w:rsidP="00DD5ACD">
            <w:r w:rsidRPr="00E546E4">
              <w:t>2500</w:t>
            </w:r>
          </w:p>
        </w:tc>
        <w:tc>
          <w:tcPr>
            <w:tcW w:w="2088" w:type="dxa"/>
          </w:tcPr>
          <w:p w:rsidR="005469DF" w:rsidRPr="00E546E4" w:rsidRDefault="005469DF" w:rsidP="00DD5ACD">
            <w:r w:rsidRPr="004C3129">
              <w:rPr>
                <w:color w:val="000000"/>
              </w:rPr>
              <w:t>27779</w:t>
            </w:r>
          </w:p>
        </w:tc>
        <w:tc>
          <w:tcPr>
            <w:tcW w:w="2089" w:type="dxa"/>
          </w:tcPr>
          <w:p w:rsidR="005469DF" w:rsidRPr="00E546E4" w:rsidRDefault="005469DF" w:rsidP="00DD5ACD">
            <w:r w:rsidRPr="004C3129">
              <w:rPr>
                <w:color w:val="000000"/>
              </w:rPr>
              <w:t>27665</w:t>
            </w:r>
          </w:p>
        </w:tc>
        <w:tc>
          <w:tcPr>
            <w:tcW w:w="2089" w:type="dxa"/>
          </w:tcPr>
          <w:p w:rsidR="005469DF" w:rsidRPr="00E546E4" w:rsidRDefault="005469DF" w:rsidP="00DD5ACD">
            <w:r w:rsidRPr="004C3129">
              <w:rPr>
                <w:color w:val="000000"/>
              </w:rPr>
              <w:t>27607</w:t>
            </w:r>
          </w:p>
        </w:tc>
      </w:tr>
      <w:tr w:rsidR="005469DF" w:rsidTr="00DD5ACD">
        <w:tc>
          <w:tcPr>
            <w:tcW w:w="2088" w:type="dxa"/>
          </w:tcPr>
          <w:p w:rsidR="005469DF" w:rsidRPr="00E546E4" w:rsidRDefault="005469DF" w:rsidP="00DD5ACD">
            <w:r w:rsidRPr="00E546E4">
              <w:t>3000</w:t>
            </w:r>
          </w:p>
        </w:tc>
        <w:tc>
          <w:tcPr>
            <w:tcW w:w="2088" w:type="dxa"/>
          </w:tcPr>
          <w:p w:rsidR="005469DF" w:rsidRPr="00E546E4" w:rsidRDefault="005469DF" w:rsidP="00DD5ACD">
            <w:r w:rsidRPr="004C3129">
              <w:rPr>
                <w:color w:val="000000"/>
              </w:rPr>
              <w:t>17081</w:t>
            </w:r>
          </w:p>
        </w:tc>
        <w:tc>
          <w:tcPr>
            <w:tcW w:w="2089" w:type="dxa"/>
          </w:tcPr>
          <w:p w:rsidR="005469DF" w:rsidRPr="00E546E4" w:rsidRDefault="005469DF" w:rsidP="00DD5ACD">
            <w:r w:rsidRPr="004C3129">
              <w:rPr>
                <w:color w:val="000000"/>
              </w:rPr>
              <w:t>17011</w:t>
            </w:r>
          </w:p>
        </w:tc>
        <w:tc>
          <w:tcPr>
            <w:tcW w:w="2089" w:type="dxa"/>
          </w:tcPr>
          <w:p w:rsidR="005469DF" w:rsidRPr="00E546E4" w:rsidRDefault="005469DF" w:rsidP="00DD5ACD">
            <w:r w:rsidRPr="004C3129">
              <w:rPr>
                <w:color w:val="000000"/>
              </w:rPr>
              <w:t>16976</w:t>
            </w:r>
          </w:p>
        </w:tc>
      </w:tr>
      <w:tr w:rsidR="005469DF" w:rsidTr="00DD5ACD">
        <w:tc>
          <w:tcPr>
            <w:tcW w:w="2088" w:type="dxa"/>
          </w:tcPr>
          <w:p w:rsidR="005469DF" w:rsidRPr="00E546E4" w:rsidRDefault="005469DF" w:rsidP="00DD5ACD">
            <w:r w:rsidRPr="00E546E4">
              <w:t>3500</w:t>
            </w:r>
          </w:p>
        </w:tc>
        <w:tc>
          <w:tcPr>
            <w:tcW w:w="2088" w:type="dxa"/>
          </w:tcPr>
          <w:p w:rsidR="005469DF" w:rsidRPr="00E546E4" w:rsidRDefault="005469DF" w:rsidP="00DD5ACD">
            <w:r w:rsidRPr="004C3129">
              <w:rPr>
                <w:color w:val="000000"/>
              </w:rPr>
              <w:t>10861</w:t>
            </w:r>
          </w:p>
        </w:tc>
        <w:tc>
          <w:tcPr>
            <w:tcW w:w="2089" w:type="dxa"/>
          </w:tcPr>
          <w:p w:rsidR="005469DF" w:rsidRPr="00E546E4" w:rsidRDefault="005469DF" w:rsidP="00DD5ACD">
            <w:r w:rsidRPr="004C3129">
              <w:rPr>
                <w:color w:val="000000"/>
              </w:rPr>
              <w:t>10816</w:t>
            </w:r>
          </w:p>
        </w:tc>
        <w:tc>
          <w:tcPr>
            <w:tcW w:w="2089" w:type="dxa"/>
          </w:tcPr>
          <w:p w:rsidR="005469DF" w:rsidRPr="00E546E4" w:rsidRDefault="005469DF" w:rsidP="00DD5ACD">
            <w:r>
              <w:rPr>
                <w:color w:val="000000"/>
              </w:rPr>
              <w:t>10794</w:t>
            </w:r>
          </w:p>
        </w:tc>
      </w:tr>
      <w:tr w:rsidR="005469DF" w:rsidTr="00DD5ACD">
        <w:tc>
          <w:tcPr>
            <w:tcW w:w="2088" w:type="dxa"/>
          </w:tcPr>
          <w:p w:rsidR="005469DF" w:rsidRPr="00E546E4" w:rsidRDefault="005469DF" w:rsidP="00DD5ACD">
            <w:r w:rsidRPr="00E546E4">
              <w:t>4000</w:t>
            </w:r>
          </w:p>
        </w:tc>
        <w:tc>
          <w:tcPr>
            <w:tcW w:w="2088" w:type="dxa"/>
          </w:tcPr>
          <w:p w:rsidR="005469DF" w:rsidRPr="00E546E4" w:rsidRDefault="005469DF" w:rsidP="00DD5ACD">
            <w:r w:rsidRPr="004C3129">
              <w:rPr>
                <w:color w:val="000000"/>
              </w:rPr>
              <w:t>7</w:t>
            </w:r>
            <w:r>
              <w:rPr>
                <w:color w:val="000000"/>
              </w:rPr>
              <w:t> </w:t>
            </w:r>
            <w:r w:rsidRPr="004C3129">
              <w:rPr>
                <w:color w:val="000000"/>
              </w:rPr>
              <w:t>294</w:t>
            </w:r>
          </w:p>
        </w:tc>
        <w:tc>
          <w:tcPr>
            <w:tcW w:w="2089" w:type="dxa"/>
          </w:tcPr>
          <w:p w:rsidR="005469DF" w:rsidRPr="00E546E4" w:rsidRDefault="005469DF" w:rsidP="00DD5ACD">
            <w:r w:rsidRPr="004C3129">
              <w:rPr>
                <w:color w:val="000000"/>
              </w:rPr>
              <w:t>7</w:t>
            </w:r>
            <w:r>
              <w:rPr>
                <w:color w:val="000000"/>
              </w:rPr>
              <w:t> </w:t>
            </w:r>
            <w:r w:rsidRPr="004C3129">
              <w:rPr>
                <w:color w:val="000000"/>
              </w:rPr>
              <w:t xml:space="preserve">264 </w:t>
            </w:r>
            <w:r>
              <w:rPr>
                <w:color w:val="000000"/>
              </w:rPr>
              <w:tab/>
            </w:r>
          </w:p>
        </w:tc>
        <w:tc>
          <w:tcPr>
            <w:tcW w:w="2089" w:type="dxa"/>
          </w:tcPr>
          <w:p w:rsidR="005469DF" w:rsidRPr="00E546E4" w:rsidRDefault="005469DF" w:rsidP="00DD5ACD">
            <w:r w:rsidRPr="004C3129">
              <w:rPr>
                <w:color w:val="000000"/>
              </w:rPr>
              <w:t>7</w:t>
            </w:r>
            <w:r>
              <w:rPr>
                <w:color w:val="000000"/>
              </w:rPr>
              <w:t> </w:t>
            </w:r>
            <w:r w:rsidRPr="004C3129">
              <w:rPr>
                <w:color w:val="000000"/>
              </w:rPr>
              <w:t>248</w:t>
            </w:r>
          </w:p>
        </w:tc>
      </w:tr>
    </w:tbl>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5469DF" w:rsidP="006C521B">
      <w:pPr>
        <w:ind w:left="1416"/>
        <w:rPr>
          <w:b/>
          <w:bCs/>
          <w:color w:val="000000"/>
        </w:rPr>
      </w:pPr>
    </w:p>
    <w:p w:rsidR="005469DF" w:rsidRDefault="00E97372" w:rsidP="005469DF">
      <w:pPr>
        <w:ind w:left="1416"/>
        <w:rPr>
          <w:b/>
          <w:bCs/>
          <w:color w:val="000000"/>
        </w:rPr>
      </w:pPr>
      <w:r w:rsidRPr="004C3129">
        <w:rPr>
          <w:color w:val="000000"/>
        </w:rPr>
        <w:br/>
      </w:r>
    </w:p>
    <w:p w:rsidR="00E97372" w:rsidRDefault="00E97372" w:rsidP="00E97372">
      <w:pPr>
        <w:jc w:val="both"/>
      </w:pPr>
      <w:bookmarkStart w:id="0" w:name="_GoBack"/>
      <w:bookmarkEnd w:id="0"/>
    </w:p>
    <w:p w:rsidR="00E97372" w:rsidRPr="004C3129" w:rsidRDefault="00E97372" w:rsidP="00E97372">
      <w:pPr>
        <w:pStyle w:val="Vahedeta"/>
        <w:rPr>
          <w:shd w:val="clear" w:color="auto" w:fill="FFFFFF"/>
        </w:rPr>
      </w:pPr>
      <w:r>
        <w:rPr>
          <w:shd w:val="clear" w:color="auto" w:fill="FFFFFF"/>
        </w:rPr>
        <w:lastRenderedPageBreak/>
        <w:t>S</w:t>
      </w:r>
      <w:r w:rsidR="001750B9">
        <w:rPr>
          <w:shd w:val="clear" w:color="auto" w:fill="FFFFFF"/>
        </w:rPr>
        <w:t>otsiaalmaksulae</w:t>
      </w:r>
      <w:r w:rsidRPr="004C3129">
        <w:t> </w:t>
      </w:r>
      <w:r w:rsidR="001750B9">
        <w:rPr>
          <w:bCs/>
        </w:rPr>
        <w:t>p</w:t>
      </w:r>
      <w:r w:rsidRPr="004C3129">
        <w:rPr>
          <w:shd w:val="clear" w:color="auto" w:fill="FFFFFF"/>
        </w:rPr>
        <w:t>ikaaj</w:t>
      </w:r>
      <w:r w:rsidR="001750B9">
        <w:rPr>
          <w:shd w:val="clear" w:color="auto" w:fill="FFFFFF"/>
        </w:rPr>
        <w:t>aliste positiivsete efektide hulk</w:t>
      </w:r>
      <w:r w:rsidRPr="004C3129">
        <w:rPr>
          <w:shd w:val="clear" w:color="auto" w:fill="FFFFFF"/>
        </w:rPr>
        <w:t>a võib lugeda ka</w:t>
      </w:r>
      <w:r w:rsidRPr="004C3129">
        <w:t> </w:t>
      </w:r>
      <w:r w:rsidRPr="0049063D">
        <w:rPr>
          <w:bCs/>
        </w:rPr>
        <w:t>käitumuslikke muutusi</w:t>
      </w:r>
      <w:r w:rsidRPr="004C3129">
        <w:rPr>
          <w:shd w:val="clear" w:color="auto" w:fill="FFFFFF"/>
        </w:rPr>
        <w:t xml:space="preserve">. </w:t>
      </w:r>
      <w:r>
        <w:rPr>
          <w:shd w:val="clear" w:color="auto" w:fill="FFFFFF"/>
        </w:rPr>
        <w:t xml:space="preserve">Ettevõtjad </w:t>
      </w:r>
      <w:r w:rsidRPr="004C3129">
        <w:rPr>
          <w:shd w:val="clear" w:color="auto" w:fill="FFFFFF"/>
        </w:rPr>
        <w:t xml:space="preserve">ei pea hakkama enam palgatulu võtma välja dividendidena ning mingil määral võib see vähendada ka varimajanduse osakaalu nn ümbrikupalkade maksmise vähenemise näol. </w:t>
      </w:r>
    </w:p>
    <w:p w:rsidR="00E97372" w:rsidRPr="004C3129" w:rsidRDefault="00E97372" w:rsidP="00E97372">
      <w:pPr>
        <w:pStyle w:val="Vahedeta"/>
        <w:rPr>
          <w:shd w:val="clear" w:color="auto" w:fill="FFFFFF"/>
        </w:rPr>
      </w:pPr>
      <w:r w:rsidRPr="004C3129">
        <w:br/>
      </w:r>
      <w:r w:rsidRPr="004C3129">
        <w:rPr>
          <w:shd w:val="clear" w:color="auto" w:fill="FFFFFF"/>
        </w:rPr>
        <w:t>Sotsiaalmaksulae kehtestamine ei nõua eeldatavasti</w:t>
      </w:r>
      <w:r w:rsidRPr="004C3129">
        <w:t> </w:t>
      </w:r>
      <w:r w:rsidRPr="0049063D">
        <w:rPr>
          <w:bCs/>
        </w:rPr>
        <w:t>ümberkorraldust sotsiaalsektori rahastamises</w:t>
      </w:r>
      <w:r>
        <w:rPr>
          <w:bCs/>
        </w:rPr>
        <w:t xml:space="preserve"> ja vastavates õigusaktides</w:t>
      </w:r>
      <w:r>
        <w:rPr>
          <w:shd w:val="clear" w:color="auto" w:fill="FFFFFF"/>
        </w:rPr>
        <w:t>. T</w:t>
      </w:r>
      <w:r w:rsidRPr="004C3129">
        <w:rPr>
          <w:shd w:val="clear" w:color="auto" w:fill="FFFFFF"/>
        </w:rPr>
        <w:t>ervishoiu ja pensionide raha väheneb otsese mõjuna väiksema sotsiaalmaksu laekumise kaudu kehtestamise hetkel, aga suureneb vastavalt lisandunud kõrgepalgaliste töökohtade kaudu, kelle puhu</w:t>
      </w:r>
      <w:r>
        <w:rPr>
          <w:shd w:val="clear" w:color="auto" w:fill="FFFFFF"/>
        </w:rPr>
        <w:t>l</w:t>
      </w:r>
      <w:r w:rsidRPr="004C3129">
        <w:rPr>
          <w:shd w:val="clear" w:color="auto" w:fill="FFFFFF"/>
        </w:rPr>
        <w:t xml:space="preserve"> maksab tööandja senisest meelsamini sot</w:t>
      </w:r>
      <w:r>
        <w:rPr>
          <w:shd w:val="clear" w:color="auto" w:fill="FFFFFF"/>
        </w:rPr>
        <w:t>siaal</w:t>
      </w:r>
      <w:r w:rsidRPr="004C3129">
        <w:rPr>
          <w:shd w:val="clear" w:color="auto" w:fill="FFFFFF"/>
        </w:rPr>
        <w:t>maksulaest allapoole jäävalt tasemelt</w:t>
      </w:r>
      <w:r>
        <w:rPr>
          <w:shd w:val="clear" w:color="auto" w:fill="FFFFFF"/>
        </w:rPr>
        <w:t>.</w:t>
      </w:r>
    </w:p>
    <w:p w:rsidR="00E97372" w:rsidRPr="004C3129" w:rsidRDefault="00E97372" w:rsidP="00E97372">
      <w:pPr>
        <w:pStyle w:val="Vahedeta"/>
        <w:rPr>
          <w:shd w:val="clear" w:color="auto" w:fill="FFFFFF"/>
        </w:rPr>
      </w:pPr>
    </w:p>
    <w:p w:rsidR="00E97372" w:rsidRPr="004C3129" w:rsidRDefault="001750B9" w:rsidP="00E97372">
      <w:pPr>
        <w:pStyle w:val="Vahedeta"/>
        <w:rPr>
          <w:shd w:val="clear" w:color="auto" w:fill="FFFFFF"/>
        </w:rPr>
      </w:pPr>
      <w:r>
        <w:rPr>
          <w:shd w:val="clear" w:color="auto" w:fill="FFFFFF"/>
        </w:rPr>
        <w:t xml:space="preserve">Kokkuvõttes vähendab eelnõu </w:t>
      </w:r>
      <w:r w:rsidR="00E97372" w:rsidRPr="004C3129">
        <w:rPr>
          <w:shd w:val="clear" w:color="auto" w:fill="FFFFFF"/>
        </w:rPr>
        <w:t xml:space="preserve">tööjõukulu, nagu seda on oma eesmärgina deklareerinud kõik </w:t>
      </w:r>
    </w:p>
    <w:p w:rsidR="00E97372" w:rsidRPr="004C3129" w:rsidRDefault="00E97372" w:rsidP="00E97372">
      <w:pPr>
        <w:pStyle w:val="Vahedeta"/>
        <w:rPr>
          <w:shd w:val="clear" w:color="auto" w:fill="FFFFFF"/>
        </w:rPr>
      </w:pPr>
      <w:r w:rsidRPr="004C3129">
        <w:rPr>
          <w:shd w:val="clear" w:color="auto" w:fill="FFFFFF"/>
        </w:rPr>
        <w:t>tänased parlamendierakonnad.</w:t>
      </w:r>
    </w:p>
    <w:p w:rsidR="00E97372" w:rsidRPr="004C3129" w:rsidRDefault="00E97372" w:rsidP="00E97372">
      <w:pPr>
        <w:jc w:val="both"/>
        <w:rPr>
          <w:b/>
        </w:rPr>
      </w:pPr>
    </w:p>
    <w:p w:rsidR="00E97372" w:rsidRPr="00D540FB" w:rsidRDefault="00E97372" w:rsidP="00E97372">
      <w:pPr>
        <w:jc w:val="both"/>
        <w:rPr>
          <w:b/>
          <w:sz w:val="28"/>
          <w:szCs w:val="28"/>
        </w:rPr>
      </w:pPr>
      <w:r w:rsidRPr="00D540FB">
        <w:rPr>
          <w:b/>
          <w:sz w:val="28"/>
          <w:szCs w:val="28"/>
        </w:rPr>
        <w:t>5. Eelnõu terminoloogia ja vastavus Euroopa Liidu õigusele</w:t>
      </w:r>
    </w:p>
    <w:p w:rsidR="00E97372" w:rsidRDefault="00E97372" w:rsidP="00E97372">
      <w:pPr>
        <w:jc w:val="both"/>
      </w:pPr>
    </w:p>
    <w:p w:rsidR="00E97372" w:rsidRDefault="00E97372" w:rsidP="00E97372">
      <w:pPr>
        <w:jc w:val="both"/>
      </w:pPr>
      <w:r>
        <w:t xml:space="preserve">Eelnõus sisaldub maksuõiguses esmakordselt kasutatud termin – </w:t>
      </w:r>
      <w:r w:rsidRPr="0026216F">
        <w:t>mediaanväljamakse.</w:t>
      </w:r>
      <w:r>
        <w:t xml:space="preserve"> Maksu- ja Tolliameti (MTA) info</w:t>
      </w:r>
      <w:r>
        <w:rPr>
          <w:rStyle w:val="Allmrkuseviide"/>
        </w:rPr>
        <w:footnoteReference w:id="3"/>
      </w:r>
      <w:r>
        <w:t xml:space="preserve"> järgi tähistab mediaanväljamakse summat, millest suuremaid ja madalamaid brutoväljamakseid oli võrdselt. Statistikat mediaanväljamaksete kohta teeb ka Statistikaamet (SA). SA avaldab keskmist palka, mis sisaldab järgmisi tasuliike: aja- ja tükitöö tasu, </w:t>
      </w:r>
      <w:r w:rsidR="001440A4">
        <w:t>puhkusetasu, mitterahaline ehk b</w:t>
      </w:r>
      <w:r>
        <w:t xml:space="preserve">oonustasu, ebaregulaarsed preemiad ja lisatasud. MTA ei avalda keskmist palka, vaid isiku kohta tehtud erinevaid väljamakseid, mis on seotud töösuhtega. </w:t>
      </w:r>
    </w:p>
    <w:p w:rsidR="00E97372" w:rsidRDefault="00E97372" w:rsidP="00E97372">
      <w:pPr>
        <w:jc w:val="both"/>
      </w:pPr>
    </w:p>
    <w:p w:rsidR="00E97372" w:rsidRDefault="00E97372" w:rsidP="00E97372">
      <w:pPr>
        <w:jc w:val="both"/>
      </w:pPr>
      <w:r>
        <w:t>Töötajate arv – osalise ja täistööajaga töötajate palga võrdlemiseks taandab SA töötajate arvu täistööajale. Täistööajale taandatud töötajate keskmine arv arvutatakse: täistööajaga töötajate arv + osalise tööajaga töötajate arv, arvestatud proportsionaalselt töötatud ajaga (nt kaks poole koormusega töötajat arvestatakse ühena). Brutokuupalkade kogusumma jagatakse täistööajale taandatud töötajate keskmise arvuga. MTA võtab arvesse kõik inimesed, kellele on tehtud väljamaksed, sõltumata kas väljamakse on inimesele tehtud täistööaja või osalise tööaja eest. MTA andmetes on töötajate arv kasvav, st iga tööturul käinu on arvel, sõltumata tööturul veedetud ajast.</w:t>
      </w:r>
    </w:p>
    <w:p w:rsidR="00E97372" w:rsidRDefault="00E97372" w:rsidP="00E97372">
      <w:pPr>
        <w:jc w:val="both"/>
      </w:pPr>
    </w:p>
    <w:p w:rsidR="00E97372" w:rsidRDefault="00E97372" w:rsidP="00E97372">
      <w:pPr>
        <w:jc w:val="both"/>
      </w:pPr>
      <w:r>
        <w:t>MTA metoodika arvestab paremini töötasuga seotud maksetega, mis on riigi poolt fikseeritud. MTA metoodika arvestab paremini reaalse hõivega ja tööajaga, teisaldamata töötunde teistsuguste ühikuteni. Seega MTA mediaanväljamakse tuvastamise meetod peegeldab korrektsemalt olukorda Eesti tööjõuturul (sissetulekud ja tööhõive) ning selle kasutamine käesoleva seaduse eesmärkide täitmiseks on põhjendatud.</w:t>
      </w:r>
    </w:p>
    <w:p w:rsidR="00E97372" w:rsidRDefault="00E97372" w:rsidP="00E97372">
      <w:pPr>
        <w:jc w:val="both"/>
      </w:pPr>
    </w:p>
    <w:p w:rsidR="00E97372" w:rsidRPr="004C3129" w:rsidRDefault="00E97372" w:rsidP="00E97372">
      <w:pPr>
        <w:jc w:val="both"/>
      </w:pPr>
      <w:r w:rsidRPr="004C3129">
        <w:t>Eelnõus sisalduvad muudatused vastavad Eesti Vabariigi põhiseadusele ja Euroopa Liidu õigusele.</w:t>
      </w:r>
    </w:p>
    <w:p w:rsidR="00E97372" w:rsidRPr="004C3129" w:rsidRDefault="00E97372" w:rsidP="00E97372">
      <w:pPr>
        <w:rPr>
          <w:b/>
        </w:rPr>
      </w:pPr>
    </w:p>
    <w:p w:rsidR="00E97372" w:rsidRPr="004C3129" w:rsidRDefault="00E97372" w:rsidP="00E97372">
      <w:pPr>
        <w:jc w:val="both"/>
      </w:pPr>
    </w:p>
    <w:p w:rsidR="00E97372" w:rsidRDefault="00E97372" w:rsidP="00E97372">
      <w:pPr>
        <w:jc w:val="both"/>
      </w:pPr>
    </w:p>
    <w:p w:rsidR="00E97372" w:rsidRPr="004C3129" w:rsidRDefault="00E97372" w:rsidP="00E97372">
      <w:pPr>
        <w:jc w:val="both"/>
      </w:pPr>
    </w:p>
    <w:p w:rsidR="00E97372" w:rsidRPr="004C3129" w:rsidRDefault="00E97372" w:rsidP="00E97372">
      <w:pPr>
        <w:jc w:val="both"/>
      </w:pPr>
      <w:r w:rsidRPr="004C3129">
        <w:rPr>
          <w:noProof/>
          <w:lang w:eastAsia="et-EE"/>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117475</wp:posOffset>
                </wp:positionV>
                <wp:extent cx="5791200" cy="635"/>
                <wp:effectExtent l="0" t="0" r="19050" b="37465"/>
                <wp:wrapNone/>
                <wp:docPr id="2" name="Sirge noolkonnek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D79CA" id="_x0000_t32" coordsize="21600,21600" o:spt="32" o:oned="t" path="m,l21600,21600e" filled="f">
                <v:path arrowok="t" fillok="f" o:connecttype="none"/>
                <o:lock v:ext="edit" shapetype="t"/>
              </v:shapetype>
              <v:shape id="Sirge noolkonnektor 2" o:spid="_x0000_s1026" type="#_x0000_t32" style="position:absolute;margin-left:-1.85pt;margin-top:9.25pt;width:4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" strokeweight="1pt"/>
            </w:pict>
          </mc:Fallback>
        </mc:AlternateContent>
      </w:r>
    </w:p>
    <w:p w:rsidR="00E97372" w:rsidRPr="004C3129" w:rsidRDefault="00E97372" w:rsidP="00E97372">
      <w:r w:rsidRPr="004C3129">
        <w:t xml:space="preserve">Algatab Eesti Vabaerakonna fraktsioon </w:t>
      </w:r>
      <w:r>
        <w:t xml:space="preserve">                       </w:t>
      </w:r>
      <w:r w:rsidR="001440A4">
        <w:t xml:space="preserve">                              11</w:t>
      </w:r>
      <w:r w:rsidR="008932D1">
        <w:t>.01.2017</w:t>
      </w:r>
    </w:p>
    <w:p w:rsidR="00E97372" w:rsidRPr="004C3129" w:rsidRDefault="00E97372" w:rsidP="00E97372">
      <w:pPr>
        <w:jc w:val="both"/>
      </w:pPr>
      <w:r>
        <w:t xml:space="preserve"> </w:t>
      </w:r>
    </w:p>
    <w:p w:rsidR="00E97372" w:rsidRPr="008932D1" w:rsidRDefault="00E97372"/>
    <w:sectPr w:rsidR="00E97372" w:rsidRPr="00893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E0" w:rsidRDefault="00B007E0" w:rsidP="00E97372">
      <w:r>
        <w:separator/>
      </w:r>
    </w:p>
  </w:endnote>
  <w:endnote w:type="continuationSeparator" w:id="0">
    <w:p w:rsidR="00B007E0" w:rsidRDefault="00B007E0" w:rsidP="00E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E0" w:rsidRDefault="00B007E0" w:rsidP="00E97372">
      <w:r>
        <w:separator/>
      </w:r>
    </w:p>
  </w:footnote>
  <w:footnote w:type="continuationSeparator" w:id="0">
    <w:p w:rsidR="00B007E0" w:rsidRDefault="00B007E0" w:rsidP="00E97372">
      <w:r>
        <w:continuationSeparator/>
      </w:r>
    </w:p>
  </w:footnote>
  <w:footnote w:id="1">
    <w:p w:rsidR="00E97372" w:rsidRDefault="00E97372" w:rsidP="00E97372">
      <w:pPr>
        <w:pStyle w:val="Allmrkusetekst"/>
      </w:pPr>
      <w:r>
        <w:rPr>
          <w:rStyle w:val="Allmrkuseviide"/>
        </w:rPr>
        <w:footnoteRef/>
      </w:r>
      <w:r>
        <w:t xml:space="preserve"> Konkurentsivõime 2.0 raport Justiitsministeeriumi kodulehel: </w:t>
      </w:r>
      <w:hyperlink r:id="rId1" w:history="1">
        <w:r w:rsidRPr="00747722">
          <w:rPr>
            <w:rStyle w:val="Hperlink"/>
          </w:rPr>
          <w:t>http://www.just.ee/et/konkurentsivoime-20</w:t>
        </w:r>
      </w:hyperlink>
      <w:r>
        <w:t xml:space="preserve"> </w:t>
      </w:r>
    </w:p>
  </w:footnote>
  <w:footnote w:id="2">
    <w:p w:rsidR="00E97372" w:rsidRDefault="00E97372" w:rsidP="00E97372">
      <w:pPr>
        <w:pStyle w:val="Allmrkusetekst"/>
      </w:pPr>
      <w:r>
        <w:rPr>
          <w:rStyle w:val="Allmrkuseviide"/>
        </w:rPr>
        <w:footnoteRef/>
      </w:r>
      <w:r>
        <w:t xml:space="preserve"> Eesti Tööandjate Liidu manifesti tekst: </w:t>
      </w:r>
      <w:r w:rsidRPr="00D04820">
        <w:t xml:space="preserve"> </w:t>
      </w:r>
      <w:hyperlink r:id="rId2" w:history="1">
        <w:r w:rsidRPr="009729EF">
          <w:rPr>
            <w:rStyle w:val="Hperlink"/>
          </w:rPr>
          <w:t>http://www.employers.ee/wp-content/uploads/images_pdf_Tandjate_Manifest_2015.pdf</w:t>
        </w:r>
      </w:hyperlink>
      <w:r>
        <w:t xml:space="preserve"> </w:t>
      </w:r>
    </w:p>
  </w:footnote>
  <w:footnote w:id="3">
    <w:p w:rsidR="00E97372" w:rsidRDefault="00E97372" w:rsidP="00E97372">
      <w:pPr>
        <w:pStyle w:val="Allmrkusetekst"/>
      </w:pPr>
      <w:r>
        <w:rPr>
          <w:rStyle w:val="Allmrkuseviide"/>
        </w:rPr>
        <w:footnoteRef/>
      </w:r>
      <w:r>
        <w:t xml:space="preserve"> MTA koduleht: </w:t>
      </w:r>
      <w:hyperlink r:id="rId3" w:history="1">
        <w:r w:rsidRPr="009729EF">
          <w:rPr>
            <w:rStyle w:val="Hperlink"/>
          </w:rPr>
          <w:t>http://vanaweb.emta.ee/?id=37426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1570"/>
    <w:multiLevelType w:val="hybridMultilevel"/>
    <w:tmpl w:val="524EF7A4"/>
    <w:lvl w:ilvl="0" w:tplc="03D099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5A"/>
    <w:rsid w:val="000204AF"/>
    <w:rsid w:val="000D4B3A"/>
    <w:rsid w:val="000F094F"/>
    <w:rsid w:val="00110E1E"/>
    <w:rsid w:val="001437C7"/>
    <w:rsid w:val="001440A4"/>
    <w:rsid w:val="0017282E"/>
    <w:rsid w:val="001746B6"/>
    <w:rsid w:val="001750B9"/>
    <w:rsid w:val="001C76AC"/>
    <w:rsid w:val="001F337D"/>
    <w:rsid w:val="001F68FC"/>
    <w:rsid w:val="0020073A"/>
    <w:rsid w:val="00233774"/>
    <w:rsid w:val="0026216F"/>
    <w:rsid w:val="00382FEA"/>
    <w:rsid w:val="003B28B1"/>
    <w:rsid w:val="004038FC"/>
    <w:rsid w:val="004241EB"/>
    <w:rsid w:val="00440B87"/>
    <w:rsid w:val="00446F07"/>
    <w:rsid w:val="0045721D"/>
    <w:rsid w:val="00474798"/>
    <w:rsid w:val="004D6FFC"/>
    <w:rsid w:val="004F4ABC"/>
    <w:rsid w:val="004F7DCF"/>
    <w:rsid w:val="00527287"/>
    <w:rsid w:val="005469DF"/>
    <w:rsid w:val="005B6C29"/>
    <w:rsid w:val="005E1B04"/>
    <w:rsid w:val="00601C0F"/>
    <w:rsid w:val="00604244"/>
    <w:rsid w:val="0061058C"/>
    <w:rsid w:val="006174ED"/>
    <w:rsid w:val="00663A7E"/>
    <w:rsid w:val="00670CA8"/>
    <w:rsid w:val="006A1322"/>
    <w:rsid w:val="006B0EFB"/>
    <w:rsid w:val="006C521B"/>
    <w:rsid w:val="006D5530"/>
    <w:rsid w:val="006F3CB9"/>
    <w:rsid w:val="007029E2"/>
    <w:rsid w:val="00703728"/>
    <w:rsid w:val="00735CE8"/>
    <w:rsid w:val="00763D3E"/>
    <w:rsid w:val="007E51B8"/>
    <w:rsid w:val="007F7C48"/>
    <w:rsid w:val="008343A5"/>
    <w:rsid w:val="008876D1"/>
    <w:rsid w:val="008932D1"/>
    <w:rsid w:val="008D271E"/>
    <w:rsid w:val="009212D2"/>
    <w:rsid w:val="00937368"/>
    <w:rsid w:val="009874A2"/>
    <w:rsid w:val="00A5271D"/>
    <w:rsid w:val="00A7771F"/>
    <w:rsid w:val="00A801D7"/>
    <w:rsid w:val="00A864EB"/>
    <w:rsid w:val="00B007E0"/>
    <w:rsid w:val="00B15538"/>
    <w:rsid w:val="00B30DF0"/>
    <w:rsid w:val="00B34593"/>
    <w:rsid w:val="00BB675A"/>
    <w:rsid w:val="00BC5966"/>
    <w:rsid w:val="00C00674"/>
    <w:rsid w:val="00CD765A"/>
    <w:rsid w:val="00DA5F69"/>
    <w:rsid w:val="00DE087C"/>
    <w:rsid w:val="00E356F2"/>
    <w:rsid w:val="00E70299"/>
    <w:rsid w:val="00E948CB"/>
    <w:rsid w:val="00E97372"/>
    <w:rsid w:val="00ED462F"/>
    <w:rsid w:val="00EE2761"/>
    <w:rsid w:val="00F63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386D1-C9E4-456B-A966-6CA09CC5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675A"/>
    <w:pPr>
      <w:spacing w:after="0" w:line="240" w:lineRule="auto"/>
    </w:pPr>
    <w:rPr>
      <w:rFonts w:ascii="Times New Roman" w:eastAsia="Times New Roman" w:hAnsi="Times New Roman" w:cs="Times New Roman"/>
      <w:sz w:val="24"/>
      <w:szCs w:val="24"/>
      <w:lang w:eastAsia="ru-RU"/>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style-span">
    <w:name w:val="apple-style-span"/>
    <w:basedOn w:val="Liguvaikefont"/>
    <w:rsid w:val="00BB675A"/>
  </w:style>
  <w:style w:type="paragraph" w:styleId="Jutumullitekst">
    <w:name w:val="Balloon Text"/>
    <w:basedOn w:val="Normaallaad"/>
    <w:link w:val="JutumullitekstMrk"/>
    <w:uiPriority w:val="99"/>
    <w:semiHidden/>
    <w:unhideWhenUsed/>
    <w:rsid w:val="001F337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F337D"/>
    <w:rPr>
      <w:rFonts w:ascii="Segoe UI" w:eastAsia="Times New Roman" w:hAnsi="Segoe UI" w:cs="Segoe UI"/>
      <w:sz w:val="18"/>
      <w:szCs w:val="18"/>
      <w:lang w:eastAsia="ru-RU"/>
    </w:rPr>
  </w:style>
  <w:style w:type="paragraph" w:styleId="Normaallaadveeb">
    <w:name w:val="Normal (Web)"/>
    <w:basedOn w:val="Normaallaad"/>
    <w:uiPriority w:val="99"/>
    <w:rsid w:val="00E97372"/>
    <w:pPr>
      <w:spacing w:before="240" w:after="100" w:afterAutospacing="1"/>
    </w:pPr>
  </w:style>
  <w:style w:type="character" w:styleId="Hperlink">
    <w:name w:val="Hyperlink"/>
    <w:rsid w:val="00E97372"/>
    <w:rPr>
      <w:color w:val="0000FF"/>
      <w:u w:val="single"/>
    </w:rPr>
  </w:style>
  <w:style w:type="character" w:customStyle="1" w:styleId="apple-converted-space">
    <w:name w:val="apple-converted-space"/>
    <w:basedOn w:val="Liguvaikefont"/>
    <w:rsid w:val="00E97372"/>
  </w:style>
  <w:style w:type="paragraph" w:styleId="Vahedeta">
    <w:name w:val="No Spacing"/>
    <w:uiPriority w:val="1"/>
    <w:qFormat/>
    <w:rsid w:val="00E97372"/>
    <w:pPr>
      <w:spacing w:after="0" w:line="240" w:lineRule="auto"/>
    </w:pPr>
    <w:rPr>
      <w:rFonts w:ascii="Times New Roman" w:eastAsia="Times New Roman" w:hAnsi="Times New Roman" w:cs="Times New Roman"/>
      <w:sz w:val="24"/>
      <w:szCs w:val="24"/>
      <w:lang w:eastAsia="ru-RU"/>
    </w:rPr>
  </w:style>
  <w:style w:type="paragraph" w:styleId="Allmrkusetekst">
    <w:name w:val="footnote text"/>
    <w:basedOn w:val="Normaallaad"/>
    <w:link w:val="AllmrkusetekstMrk"/>
    <w:uiPriority w:val="99"/>
    <w:unhideWhenUsed/>
    <w:rsid w:val="00E97372"/>
    <w:rPr>
      <w:rFonts w:eastAsia="Calibri"/>
      <w:sz w:val="20"/>
      <w:szCs w:val="20"/>
      <w:lang w:eastAsia="et-EE"/>
    </w:rPr>
  </w:style>
  <w:style w:type="character" w:customStyle="1" w:styleId="AllmrkusetekstMrk">
    <w:name w:val="Allmärkuse tekst Märk"/>
    <w:basedOn w:val="Liguvaikefont"/>
    <w:link w:val="Allmrkusetekst"/>
    <w:uiPriority w:val="99"/>
    <w:rsid w:val="00E97372"/>
    <w:rPr>
      <w:rFonts w:ascii="Times New Roman" w:eastAsia="Calibri" w:hAnsi="Times New Roman" w:cs="Times New Roman"/>
      <w:sz w:val="20"/>
      <w:szCs w:val="20"/>
      <w:lang w:eastAsia="et-EE"/>
    </w:rPr>
  </w:style>
  <w:style w:type="character" w:styleId="Allmrkuseviide">
    <w:name w:val="footnote reference"/>
    <w:uiPriority w:val="99"/>
    <w:unhideWhenUsed/>
    <w:rsid w:val="00E97372"/>
    <w:rPr>
      <w:vertAlign w:val="superscript"/>
    </w:rPr>
  </w:style>
  <w:style w:type="table" w:styleId="Kontuurtabel">
    <w:name w:val="Table Grid"/>
    <w:basedOn w:val="Normaaltabel"/>
    <w:uiPriority w:val="39"/>
    <w:rsid w:val="0054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758">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11481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ee/artikkel/4816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enusmajandus.ee/kojast/toogrupid/maksutoogru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igikogu.ee/v/failide_arhiiv/146.tel_2008.07_Sotsiaalmaksude_ylempiirid.doc" TargetMode="External"/><Relationship Id="rId5" Type="http://schemas.openxmlformats.org/officeDocument/2006/relationships/webSettings" Target="webSettings.xml"/><Relationship Id="rId10" Type="http://schemas.openxmlformats.org/officeDocument/2006/relationships/hyperlink" Target="http://www.oecd.org/document/29/0,3343,en_33873108_39418677_42587805_1_1_1_1,00.html" TargetMode="External"/><Relationship Id="rId4" Type="http://schemas.openxmlformats.org/officeDocument/2006/relationships/settings" Target="settings.xml"/><Relationship Id="rId9" Type="http://schemas.openxmlformats.org/officeDocument/2006/relationships/hyperlink" Target="http://www.arengufond.ee/upload/Editor/Publikatsioonid/Publikatsioonide%20failid/Spikker-Valge-paber-Riigikogule-18060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anaweb.emta.ee/?id=37426" TargetMode="External"/><Relationship Id="rId2" Type="http://schemas.openxmlformats.org/officeDocument/2006/relationships/hyperlink" Target="http://www.employers.ee/wp-content/uploads/images_pdf_Tandjate_Manifest_2015.pdf" TargetMode="External"/><Relationship Id="rId1" Type="http://schemas.openxmlformats.org/officeDocument/2006/relationships/hyperlink" Target="http://www.just.ee/et/konkurentsivoime-2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4CAA-A2B0-42B5-9188-1D7E9633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2240</Words>
  <Characters>12997</Characters>
  <Application>Microsoft Office Word</Application>
  <DocSecurity>0</DocSecurity>
  <Lines>108</Lines>
  <Paragraphs>30</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Adams</dc:creator>
  <cp:keywords/>
  <dc:description/>
  <cp:lastModifiedBy>Sergei Metlev</cp:lastModifiedBy>
  <cp:revision>4</cp:revision>
  <cp:lastPrinted>2017-01-11T09:43:00Z</cp:lastPrinted>
  <dcterms:created xsi:type="dcterms:W3CDTF">2017-01-11T09:07:00Z</dcterms:created>
  <dcterms:modified xsi:type="dcterms:W3CDTF">2017-01-11T12:02:00Z</dcterms:modified>
</cp:coreProperties>
</file>